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9B18" w14:textId="292E5727" w:rsidR="00056BFE" w:rsidRPr="000E063D" w:rsidRDefault="00056BFE" w:rsidP="00056BFE">
      <w:pPr>
        <w:widowControl w:val="0"/>
        <w:jc w:val="center"/>
        <w:rPr>
          <w:rFonts w:ascii="Tw Cen MT" w:hAnsi="Tw Cen MT"/>
          <w:b/>
          <w:sz w:val="56"/>
          <w:szCs w:val="56"/>
          <w:highlight w:val="yellow"/>
        </w:rPr>
      </w:pP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0E063D" w14:paraId="5E221839" w14:textId="77777777" w:rsidTr="52172790">
        <w:trPr>
          <w:trHeight w:val="2416"/>
        </w:trPr>
        <w:tc>
          <w:tcPr>
            <w:tcW w:w="7308" w:type="dxa"/>
            <w:vAlign w:val="center"/>
          </w:tcPr>
          <w:p w14:paraId="3D5AC41B" w14:textId="64CCE1C7" w:rsidR="00056BFE" w:rsidRPr="000E063D" w:rsidRDefault="00FD5B00" w:rsidP="002C1A58">
            <w:pPr>
              <w:widowControl w:val="0"/>
              <w:spacing w:after="0"/>
              <w:ind w:left="-90" w:right="-108"/>
              <w:jc w:val="center"/>
              <w:rPr>
                <w:rFonts w:ascii="Tw Cen MT" w:hAnsi="Tw Cen MT"/>
                <w:b/>
                <w:sz w:val="48"/>
                <w:szCs w:val="48"/>
                <w:highlight w:val="lightGray"/>
              </w:rPr>
            </w:pPr>
            <w:r w:rsidRPr="00E707BB">
              <w:rPr>
                <w:rFonts w:ascii="Tw Cen MT" w:hAnsi="Tw Cen MT"/>
                <w:b/>
                <w:sz w:val="48"/>
                <w:szCs w:val="48"/>
              </w:rPr>
              <w:t>Persistence Preparatory Academy Charter School</w:t>
            </w:r>
          </w:p>
        </w:tc>
      </w:tr>
      <w:tr w:rsidR="00056BFE" w:rsidRPr="000E063D" w14:paraId="7E0977FC" w14:textId="77777777" w:rsidTr="52172790">
        <w:trPr>
          <w:trHeight w:val="1706"/>
        </w:trPr>
        <w:tc>
          <w:tcPr>
            <w:tcW w:w="7308" w:type="dxa"/>
            <w:vAlign w:val="center"/>
          </w:tcPr>
          <w:p w14:paraId="5D08296F" w14:textId="2D53A57A" w:rsidR="00056BFE" w:rsidRPr="000E063D" w:rsidRDefault="00674956" w:rsidP="52172790">
            <w:pPr>
              <w:widowControl w:val="0"/>
              <w:spacing w:after="0"/>
              <w:ind w:left="-90" w:right="-108"/>
              <w:jc w:val="center"/>
              <w:rPr>
                <w:rFonts w:ascii="Tw Cen MT" w:hAnsi="Tw Cen MT"/>
                <w:b/>
                <w:bCs/>
                <w:sz w:val="48"/>
                <w:szCs w:val="48"/>
              </w:rPr>
            </w:pPr>
            <w:r w:rsidRPr="000E063D">
              <w:rPr>
                <w:rFonts w:ascii="Tw Cen MT" w:hAnsi="Tw Cen MT"/>
                <w:b/>
                <w:bCs/>
                <w:sz w:val="48"/>
                <w:szCs w:val="48"/>
              </w:rPr>
              <w:t>2021-22</w:t>
            </w:r>
            <w:r w:rsidR="00056BFE" w:rsidRPr="000E063D">
              <w:rPr>
                <w:rFonts w:ascii="Tw Cen MT" w:hAnsi="Tw Cen MT"/>
                <w:b/>
                <w:bCs/>
                <w:sz w:val="48"/>
                <w:szCs w:val="48"/>
              </w:rPr>
              <w:t xml:space="preserve"> ACCOUNTABILITY PLAN</w:t>
            </w:r>
          </w:p>
          <w:p w14:paraId="1D2A624A" w14:textId="77777777" w:rsidR="00056BFE" w:rsidRPr="000E063D" w:rsidRDefault="00056BFE" w:rsidP="002C1A58">
            <w:pPr>
              <w:widowControl w:val="0"/>
              <w:spacing w:after="0"/>
              <w:ind w:left="-90" w:right="-108"/>
              <w:jc w:val="center"/>
              <w:rPr>
                <w:rFonts w:ascii="Tw Cen MT" w:hAnsi="Tw Cen MT"/>
                <w:b/>
                <w:sz w:val="48"/>
                <w:szCs w:val="48"/>
              </w:rPr>
            </w:pPr>
            <w:r w:rsidRPr="000E063D">
              <w:rPr>
                <w:rFonts w:ascii="Tw Cen MT" w:hAnsi="Tw Cen MT"/>
                <w:b/>
                <w:sz w:val="48"/>
                <w:szCs w:val="48"/>
              </w:rPr>
              <w:t>PROGRESS REPORT</w:t>
            </w:r>
          </w:p>
        </w:tc>
      </w:tr>
      <w:tr w:rsidR="00056BFE" w:rsidRPr="000E063D" w14:paraId="4300A476" w14:textId="77777777" w:rsidTr="52172790">
        <w:trPr>
          <w:trHeight w:val="806"/>
        </w:trPr>
        <w:tc>
          <w:tcPr>
            <w:tcW w:w="7308" w:type="dxa"/>
            <w:vAlign w:val="center"/>
          </w:tcPr>
          <w:p w14:paraId="4C4D0D36" w14:textId="77777777" w:rsidR="00056BFE" w:rsidRPr="000E063D" w:rsidRDefault="00056BFE" w:rsidP="002C1A58">
            <w:pPr>
              <w:widowControl w:val="0"/>
              <w:spacing w:after="0"/>
              <w:ind w:left="-90" w:right="-108"/>
              <w:jc w:val="center"/>
              <w:rPr>
                <w:rFonts w:ascii="Tw Cen MT" w:hAnsi="Tw Cen MT"/>
                <w:sz w:val="32"/>
                <w:szCs w:val="32"/>
              </w:rPr>
            </w:pPr>
            <w:r w:rsidRPr="000E063D">
              <w:rPr>
                <w:rFonts w:ascii="Tw Cen MT" w:hAnsi="Tw Cen MT"/>
                <w:sz w:val="32"/>
                <w:szCs w:val="32"/>
              </w:rPr>
              <w:t>Submitted to the SUNY Charter Schools Institute on:</w:t>
            </w:r>
          </w:p>
        </w:tc>
      </w:tr>
      <w:tr w:rsidR="00056BFE" w:rsidRPr="000E063D" w14:paraId="6F7CAC7B" w14:textId="77777777" w:rsidTr="52172790">
        <w:trPr>
          <w:trHeight w:val="626"/>
        </w:trPr>
        <w:tc>
          <w:tcPr>
            <w:tcW w:w="7308" w:type="dxa"/>
            <w:vAlign w:val="center"/>
          </w:tcPr>
          <w:p w14:paraId="0AB22687" w14:textId="7A394514" w:rsidR="00056BFE" w:rsidRPr="000E063D" w:rsidRDefault="00B35705" w:rsidP="002C1A58">
            <w:pPr>
              <w:widowControl w:val="0"/>
              <w:spacing w:after="0"/>
              <w:ind w:left="-90" w:right="-108"/>
              <w:jc w:val="center"/>
              <w:rPr>
                <w:rFonts w:ascii="Tw Cen MT" w:hAnsi="Tw Cen MT"/>
                <w:sz w:val="32"/>
                <w:szCs w:val="32"/>
              </w:rPr>
            </w:pPr>
            <w:r w:rsidRPr="000E063D">
              <w:rPr>
                <w:rFonts w:ascii="Tw Cen MT" w:hAnsi="Tw Cen MT"/>
                <w:sz w:val="32"/>
                <w:szCs w:val="32"/>
              </w:rPr>
              <w:t>September 16</w:t>
            </w:r>
            <w:r w:rsidR="00056BFE" w:rsidRPr="000E063D">
              <w:rPr>
                <w:rFonts w:ascii="Tw Cen MT" w:hAnsi="Tw Cen MT"/>
                <w:sz w:val="32"/>
                <w:szCs w:val="32"/>
              </w:rPr>
              <w:t>, 20</w:t>
            </w:r>
            <w:r w:rsidR="00177CF7" w:rsidRPr="000E063D">
              <w:rPr>
                <w:rFonts w:ascii="Tw Cen MT" w:hAnsi="Tw Cen MT"/>
                <w:sz w:val="32"/>
                <w:szCs w:val="32"/>
              </w:rPr>
              <w:t>2</w:t>
            </w:r>
            <w:r w:rsidR="00012DA2" w:rsidRPr="000E063D">
              <w:rPr>
                <w:rFonts w:ascii="Tw Cen MT" w:hAnsi="Tw Cen MT"/>
                <w:sz w:val="32"/>
                <w:szCs w:val="32"/>
              </w:rPr>
              <w:t>2</w:t>
            </w:r>
          </w:p>
        </w:tc>
      </w:tr>
      <w:tr w:rsidR="00056BFE" w:rsidRPr="000E063D" w14:paraId="07513DB4" w14:textId="77777777" w:rsidTr="52172790">
        <w:trPr>
          <w:trHeight w:val="734"/>
        </w:trPr>
        <w:tc>
          <w:tcPr>
            <w:tcW w:w="7308" w:type="dxa"/>
            <w:vAlign w:val="center"/>
          </w:tcPr>
          <w:p w14:paraId="1CF1E7AB" w14:textId="0D931341" w:rsidR="00056BFE" w:rsidRPr="000E063D" w:rsidRDefault="00056BFE" w:rsidP="002C1A58">
            <w:pPr>
              <w:widowControl w:val="0"/>
              <w:spacing w:after="0"/>
              <w:ind w:left="-90" w:right="-108"/>
              <w:jc w:val="center"/>
              <w:rPr>
                <w:rFonts w:ascii="Tw Cen MT" w:hAnsi="Tw Cen MT"/>
                <w:sz w:val="32"/>
                <w:szCs w:val="32"/>
              </w:rPr>
            </w:pPr>
            <w:r w:rsidRPr="000E063D">
              <w:rPr>
                <w:rFonts w:ascii="Tw Cen MT" w:hAnsi="Tw Cen MT"/>
                <w:sz w:val="32"/>
                <w:szCs w:val="32"/>
              </w:rPr>
              <w:t xml:space="preserve">By </w:t>
            </w:r>
            <w:r w:rsidR="00B35705" w:rsidRPr="000E063D">
              <w:rPr>
                <w:rFonts w:ascii="Tw Cen MT" w:hAnsi="Tw Cen MT"/>
                <w:sz w:val="32"/>
                <w:szCs w:val="32"/>
              </w:rPr>
              <w:t>Joelle Formato</w:t>
            </w:r>
          </w:p>
        </w:tc>
      </w:tr>
      <w:tr w:rsidR="00056BFE" w:rsidRPr="000E063D" w14:paraId="15AFB151" w14:textId="77777777" w:rsidTr="52172790">
        <w:trPr>
          <w:trHeight w:val="905"/>
        </w:trPr>
        <w:tc>
          <w:tcPr>
            <w:tcW w:w="7308" w:type="dxa"/>
            <w:vAlign w:val="center"/>
          </w:tcPr>
          <w:p w14:paraId="52B8C6CE" w14:textId="24019688" w:rsidR="00056BFE" w:rsidRPr="00E707BB" w:rsidRDefault="00B35705" w:rsidP="002C1A58">
            <w:pPr>
              <w:widowControl w:val="0"/>
              <w:spacing w:after="0"/>
              <w:ind w:left="-90" w:right="-108"/>
              <w:jc w:val="center"/>
              <w:rPr>
                <w:rFonts w:ascii="Tw Cen MT" w:hAnsi="Tw Cen MT"/>
                <w:sz w:val="32"/>
                <w:szCs w:val="32"/>
              </w:rPr>
            </w:pPr>
            <w:r w:rsidRPr="00E707BB">
              <w:rPr>
                <w:rFonts w:ascii="Tw Cen MT" w:hAnsi="Tw Cen MT"/>
                <w:sz w:val="32"/>
                <w:szCs w:val="32"/>
              </w:rPr>
              <w:t>378 Urban Street, Buffalo, NY 14211</w:t>
            </w:r>
          </w:p>
        </w:tc>
      </w:tr>
      <w:tr w:rsidR="00056BFE" w:rsidRPr="000E063D" w14:paraId="71EDE02D" w14:textId="77777777" w:rsidTr="52172790">
        <w:trPr>
          <w:trHeight w:val="905"/>
        </w:trPr>
        <w:tc>
          <w:tcPr>
            <w:tcW w:w="7308" w:type="dxa"/>
            <w:vAlign w:val="center"/>
          </w:tcPr>
          <w:p w14:paraId="10323A29" w14:textId="4ED2EF18" w:rsidR="00056BFE" w:rsidRPr="00E707BB" w:rsidRDefault="00B35705" w:rsidP="002C1A58">
            <w:pPr>
              <w:widowControl w:val="0"/>
              <w:spacing w:after="0"/>
              <w:ind w:left="-90" w:right="-108"/>
              <w:jc w:val="center"/>
              <w:rPr>
                <w:rFonts w:ascii="Tw Cen MT" w:hAnsi="Tw Cen MT"/>
                <w:sz w:val="32"/>
                <w:szCs w:val="32"/>
              </w:rPr>
            </w:pPr>
            <w:r w:rsidRPr="00E707BB">
              <w:rPr>
                <w:rFonts w:ascii="Tw Cen MT" w:hAnsi="Tw Cen MT"/>
                <w:sz w:val="32"/>
                <w:szCs w:val="32"/>
              </w:rPr>
              <w:t>716-235-1520</w:t>
            </w:r>
          </w:p>
        </w:tc>
      </w:tr>
    </w:tbl>
    <w:p w14:paraId="1222737D" w14:textId="73EABE7A" w:rsidR="00056BFE" w:rsidRPr="000E063D" w:rsidRDefault="00B35705" w:rsidP="00056BFE">
      <w:pPr>
        <w:widowControl w:val="0"/>
        <w:jc w:val="center"/>
        <w:rPr>
          <w:rFonts w:ascii="Tw Cen MT" w:hAnsi="Tw Cen MT"/>
          <w:b/>
          <w:sz w:val="24"/>
          <w:szCs w:val="24"/>
        </w:rPr>
      </w:pPr>
      <w:r w:rsidRPr="000E063D">
        <w:rPr>
          <w:rFonts w:ascii="Tw Cen MT" w:hAnsi="Tw Cen MT"/>
          <w:noProof/>
        </w:rPr>
        <w:drawing>
          <wp:anchor distT="152400" distB="152400" distL="152400" distR="152400" simplePos="0" relativeHeight="251658240" behindDoc="1" locked="0" layoutInCell="1" allowOverlap="1" wp14:anchorId="0F9A38DF" wp14:editId="2BAB5324">
            <wp:simplePos x="0" y="0"/>
            <wp:positionH relativeFrom="margin">
              <wp:align>center</wp:align>
            </wp:positionH>
            <wp:positionV relativeFrom="page">
              <wp:posOffset>965200</wp:posOffset>
            </wp:positionV>
            <wp:extent cx="1738630" cy="787279"/>
            <wp:effectExtent l="0" t="0" r="0" b="0"/>
            <wp:wrapNone/>
            <wp:docPr id="1073741825" name="officeArt object" descr="C:\Users\jformato\AppData\Local\Microsoft\Windows\INetCache\Content.Word\perisistence_prep.png"/>
            <wp:cNvGraphicFramePr/>
            <a:graphic xmlns:a="http://schemas.openxmlformats.org/drawingml/2006/main">
              <a:graphicData uri="http://schemas.openxmlformats.org/drawingml/2006/picture">
                <pic:pic xmlns:pic="http://schemas.openxmlformats.org/drawingml/2006/picture">
                  <pic:nvPicPr>
                    <pic:cNvPr id="1073741825" name="C:\Users\jformato\AppData\Local\Microsoft\Windows\INetCache\Content.Word\perisistence_prep.png" descr="C:\Users\jformato\AppData\Local\Microsoft\Windows\INetCache\Content.Word\perisistence_prep.png"/>
                    <pic:cNvPicPr>
                      <a:picLocks noChangeAspect="1"/>
                    </pic:cNvPicPr>
                  </pic:nvPicPr>
                  <pic:blipFill>
                    <a:blip r:embed="rId11"/>
                    <a:srcRect l="11327" t="23644" r="13218" b="22960"/>
                    <a:stretch>
                      <a:fillRect/>
                    </a:stretch>
                  </pic:blipFill>
                  <pic:spPr>
                    <a:xfrm>
                      <a:off x="0" y="0"/>
                      <a:ext cx="1738630" cy="78727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75748DB" w14:textId="21C3F916" w:rsidR="00056BFE" w:rsidRPr="000E063D" w:rsidRDefault="00056BFE" w:rsidP="00056BFE">
      <w:pPr>
        <w:widowControl w:val="0"/>
        <w:rPr>
          <w:rFonts w:ascii="Tw Cen MT" w:hAnsi="Tw Cen MT"/>
        </w:rPr>
      </w:pPr>
      <w:r w:rsidRPr="000E063D">
        <w:rPr>
          <w:rFonts w:ascii="Tw Cen MT" w:hAnsi="Tw Cen MT"/>
          <w:b/>
          <w:bCs/>
          <w:sz w:val="24"/>
          <w:szCs w:val="24"/>
        </w:rPr>
        <w:br w:type="page"/>
      </w:r>
      <w:r w:rsidR="00BF27F3" w:rsidRPr="000E063D">
        <w:rPr>
          <w:rFonts w:ascii="Tw Cen MT" w:hAnsi="Tw Cen MT"/>
        </w:rPr>
        <w:lastRenderedPageBreak/>
        <w:t>Joelle Formato, Head of School,</w:t>
      </w:r>
      <w:r w:rsidRPr="000E063D">
        <w:rPr>
          <w:rFonts w:ascii="Tw Cen MT" w:hAnsi="Tw Cen MT"/>
        </w:rPr>
        <w:t xml:space="preserve"> prepared this </w:t>
      </w:r>
      <w:r w:rsidR="00674956" w:rsidRPr="000E063D">
        <w:rPr>
          <w:rFonts w:ascii="Tw Cen MT" w:hAnsi="Tw Cen MT"/>
        </w:rPr>
        <w:t>2021-22</w:t>
      </w:r>
      <w:r w:rsidRPr="000E063D">
        <w:rPr>
          <w:rFonts w:ascii="Tw Cen MT" w:hAnsi="Tw Cen MT"/>
        </w:rPr>
        <w:t xml:space="preserve"> Accountability Progress Report on behalf of the </w:t>
      </w:r>
      <w:r w:rsidR="008F3FFE" w:rsidRPr="000E063D">
        <w:rPr>
          <w:rFonts w:ascii="Tw Cen MT" w:hAnsi="Tw Cen MT"/>
        </w:rPr>
        <w:t xml:space="preserve">charter </w:t>
      </w:r>
      <w:r w:rsidRPr="000E063D">
        <w:rPr>
          <w:rFonts w:ascii="Tw Cen MT" w:hAnsi="Tw Cen MT"/>
        </w:rPr>
        <w:t>school’s board of trustees:</w:t>
      </w:r>
    </w:p>
    <w:p w14:paraId="0A92C816" w14:textId="77777777" w:rsidR="00056BFE" w:rsidRPr="000E063D" w:rsidRDefault="00056BFE" w:rsidP="00056BFE">
      <w:pPr>
        <w:widowControl w:val="0"/>
        <w:rPr>
          <w:rFonts w:ascii="Tw Cen MT" w:hAnsi="Tw Cen MT"/>
        </w:rPr>
      </w:pPr>
    </w:p>
    <w:p w14:paraId="3C12B541" w14:textId="77777777" w:rsidR="00056BFE" w:rsidRPr="000E063D" w:rsidRDefault="00056BFE" w:rsidP="00056BFE">
      <w:pPr>
        <w:widowControl w:val="0"/>
        <w:rPr>
          <w:rFonts w:ascii="Tw Cen MT" w:hAnsi="Tw Cen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177CF7" w:rsidRPr="000E063D" w14:paraId="77590E0A" w14:textId="77777777" w:rsidTr="00177CF7">
        <w:trPr>
          <w:jc w:val="center"/>
        </w:trPr>
        <w:tc>
          <w:tcPr>
            <w:tcW w:w="3539" w:type="dxa"/>
            <w:vMerge w:val="restart"/>
          </w:tcPr>
          <w:p w14:paraId="4391176F" w14:textId="77777777" w:rsidR="00177CF7" w:rsidRPr="000E063D" w:rsidRDefault="00177CF7" w:rsidP="00177CF7">
            <w:pPr>
              <w:pStyle w:val="TableText"/>
              <w:rPr>
                <w:rFonts w:ascii="Tw Cen MT" w:hAnsi="Tw Cen MT"/>
              </w:rPr>
            </w:pPr>
            <w:bookmarkStart w:id="0" w:name="Trustees"/>
          </w:p>
          <w:p w14:paraId="303CC329" w14:textId="77777777" w:rsidR="00177CF7" w:rsidRPr="000E063D" w:rsidRDefault="00177CF7" w:rsidP="00177CF7">
            <w:pPr>
              <w:pStyle w:val="TableText"/>
              <w:rPr>
                <w:rFonts w:ascii="Tw Cen MT" w:hAnsi="Tw Cen MT"/>
              </w:rPr>
            </w:pPr>
            <w:r w:rsidRPr="000E063D">
              <w:rPr>
                <w:rFonts w:ascii="Tw Cen MT" w:hAnsi="Tw Cen MT"/>
              </w:rPr>
              <w:t>Trustee’s Name</w:t>
            </w:r>
            <w:bookmarkEnd w:id="0"/>
          </w:p>
        </w:tc>
        <w:tc>
          <w:tcPr>
            <w:tcW w:w="5811" w:type="dxa"/>
            <w:gridSpan w:val="2"/>
          </w:tcPr>
          <w:p w14:paraId="2617BA76" w14:textId="77777777" w:rsidR="00177CF7" w:rsidRPr="000E063D" w:rsidRDefault="00177CF7" w:rsidP="00177CF7">
            <w:pPr>
              <w:pStyle w:val="TableText"/>
              <w:rPr>
                <w:rFonts w:ascii="Tw Cen MT" w:hAnsi="Tw Cen MT"/>
              </w:rPr>
            </w:pPr>
            <w:r w:rsidRPr="000E063D">
              <w:rPr>
                <w:rFonts w:ascii="Tw Cen MT" w:hAnsi="Tw Cen MT"/>
              </w:rPr>
              <w:t>Board Position</w:t>
            </w:r>
          </w:p>
        </w:tc>
      </w:tr>
      <w:tr w:rsidR="00177CF7" w:rsidRPr="000E063D" w14:paraId="210A2C00" w14:textId="77777777" w:rsidTr="00177CF7">
        <w:trPr>
          <w:jc w:val="center"/>
        </w:trPr>
        <w:tc>
          <w:tcPr>
            <w:tcW w:w="3539" w:type="dxa"/>
            <w:vMerge/>
          </w:tcPr>
          <w:p w14:paraId="2E7C9949" w14:textId="77777777" w:rsidR="00177CF7" w:rsidRPr="000E063D" w:rsidRDefault="00177CF7" w:rsidP="00177CF7">
            <w:pPr>
              <w:pStyle w:val="TableText"/>
              <w:rPr>
                <w:rFonts w:ascii="Tw Cen MT" w:hAnsi="Tw Cen MT"/>
                <w:highlight w:val="lightGray"/>
              </w:rPr>
            </w:pPr>
          </w:p>
        </w:tc>
        <w:tc>
          <w:tcPr>
            <w:tcW w:w="3065" w:type="dxa"/>
          </w:tcPr>
          <w:p w14:paraId="7D113E89" w14:textId="77777777" w:rsidR="00177CF7" w:rsidRPr="000E063D" w:rsidRDefault="00177CF7" w:rsidP="00177CF7">
            <w:pPr>
              <w:pStyle w:val="TableText"/>
              <w:rPr>
                <w:rFonts w:ascii="Tw Cen MT" w:hAnsi="Tw Cen MT"/>
                <w:highlight w:val="lightGray"/>
              </w:rPr>
            </w:pPr>
            <w:r w:rsidRPr="000E063D">
              <w:rPr>
                <w:rFonts w:ascii="Tw Cen MT" w:hAnsi="Tw Cen MT"/>
              </w:rPr>
              <w:t>Office (</w:t>
            </w:r>
            <w:proofErr w:type="gramStart"/>
            <w:r w:rsidRPr="000E063D">
              <w:rPr>
                <w:rFonts w:ascii="Tw Cen MT" w:hAnsi="Tw Cen MT"/>
              </w:rPr>
              <w:t>e.g.</w:t>
            </w:r>
            <w:proofErr w:type="gramEnd"/>
            <w:r w:rsidRPr="000E063D">
              <w:rPr>
                <w:rFonts w:ascii="Tw Cen MT" w:hAnsi="Tw Cen MT"/>
              </w:rPr>
              <w:t xml:space="preserve"> chair, treasurer, secretary) </w:t>
            </w:r>
          </w:p>
        </w:tc>
        <w:tc>
          <w:tcPr>
            <w:tcW w:w="2746" w:type="dxa"/>
          </w:tcPr>
          <w:p w14:paraId="199916BE" w14:textId="13209C7C" w:rsidR="00177CF7" w:rsidRPr="000E063D" w:rsidRDefault="00DF6505" w:rsidP="00177CF7">
            <w:pPr>
              <w:pStyle w:val="TableText"/>
              <w:rPr>
                <w:rFonts w:ascii="Tw Cen MT" w:hAnsi="Tw Cen MT"/>
              </w:rPr>
            </w:pPr>
            <w:r w:rsidRPr="000E063D">
              <w:rPr>
                <w:rFonts w:ascii="Tw Cen MT" w:hAnsi="Tw Cen MT"/>
              </w:rPr>
              <w:t>C</w:t>
            </w:r>
            <w:r w:rsidR="00177CF7" w:rsidRPr="000E063D">
              <w:rPr>
                <w:rFonts w:ascii="Tw Cen MT" w:hAnsi="Tw Cen MT"/>
              </w:rPr>
              <w:t>ommittees (</w:t>
            </w:r>
            <w:proofErr w:type="gramStart"/>
            <w:r w:rsidR="00177CF7" w:rsidRPr="000E063D">
              <w:rPr>
                <w:rFonts w:ascii="Tw Cen MT" w:hAnsi="Tw Cen MT"/>
              </w:rPr>
              <w:t>e.g.</w:t>
            </w:r>
            <w:proofErr w:type="gramEnd"/>
            <w:r w:rsidR="00177CF7" w:rsidRPr="000E063D">
              <w:rPr>
                <w:rFonts w:ascii="Tw Cen MT" w:hAnsi="Tw Cen MT"/>
              </w:rPr>
              <w:t xml:space="preserve"> finance, executive)</w:t>
            </w:r>
          </w:p>
        </w:tc>
      </w:tr>
      <w:tr w:rsidR="00177CF7" w:rsidRPr="000E063D" w14:paraId="454B5494" w14:textId="77777777" w:rsidTr="00177CF7">
        <w:trPr>
          <w:jc w:val="center"/>
        </w:trPr>
        <w:tc>
          <w:tcPr>
            <w:tcW w:w="3539" w:type="dxa"/>
          </w:tcPr>
          <w:p w14:paraId="1E46BF96" w14:textId="1272CF0B" w:rsidR="00177CF7" w:rsidRPr="00E707BB" w:rsidRDefault="00AE4589" w:rsidP="00177CF7">
            <w:pPr>
              <w:pStyle w:val="TableText"/>
              <w:rPr>
                <w:rFonts w:ascii="Tw Cen MT" w:hAnsi="Tw Cen MT"/>
              </w:rPr>
            </w:pPr>
            <w:r w:rsidRPr="00E707BB">
              <w:rPr>
                <w:rFonts w:ascii="Tw Cen MT" w:hAnsi="Tw Cen MT"/>
              </w:rPr>
              <w:t>Elisha Tomasello</w:t>
            </w:r>
          </w:p>
        </w:tc>
        <w:tc>
          <w:tcPr>
            <w:tcW w:w="3065" w:type="dxa"/>
          </w:tcPr>
          <w:p w14:paraId="1B30B131" w14:textId="051BE6B5" w:rsidR="00177CF7" w:rsidRPr="00E707BB" w:rsidRDefault="00080ED9" w:rsidP="00177CF7">
            <w:pPr>
              <w:pStyle w:val="TableText"/>
              <w:rPr>
                <w:rFonts w:ascii="Tw Cen MT" w:hAnsi="Tw Cen MT"/>
              </w:rPr>
            </w:pPr>
            <w:r w:rsidRPr="00E707BB">
              <w:rPr>
                <w:rFonts w:ascii="Tw Cen MT" w:hAnsi="Tw Cen MT"/>
              </w:rPr>
              <w:t>Chair</w:t>
            </w:r>
          </w:p>
        </w:tc>
        <w:tc>
          <w:tcPr>
            <w:tcW w:w="2746" w:type="dxa"/>
          </w:tcPr>
          <w:p w14:paraId="360A5428" w14:textId="4F544D7D" w:rsidR="00177CF7" w:rsidRPr="00E707BB" w:rsidRDefault="00080ED9" w:rsidP="00E707BB">
            <w:pPr>
              <w:pStyle w:val="TableText"/>
              <w:rPr>
                <w:rFonts w:ascii="Tw Cen MT" w:hAnsi="Tw Cen MT"/>
              </w:rPr>
            </w:pPr>
            <w:r w:rsidRPr="00E707BB">
              <w:rPr>
                <w:rFonts w:ascii="Tw Cen MT" w:hAnsi="Tw Cen MT"/>
              </w:rPr>
              <w:t>All</w:t>
            </w:r>
            <w:r w:rsidR="00E707BB">
              <w:rPr>
                <w:rFonts w:ascii="Tw Cen MT" w:hAnsi="Tw Cen MT"/>
              </w:rPr>
              <w:t>; Governance (chair)</w:t>
            </w:r>
          </w:p>
        </w:tc>
      </w:tr>
      <w:tr w:rsidR="00177CF7" w:rsidRPr="000E063D" w14:paraId="771052C0" w14:textId="77777777" w:rsidTr="00177CF7">
        <w:trPr>
          <w:jc w:val="center"/>
        </w:trPr>
        <w:tc>
          <w:tcPr>
            <w:tcW w:w="3539" w:type="dxa"/>
          </w:tcPr>
          <w:p w14:paraId="75F887A1" w14:textId="61432305" w:rsidR="00177CF7" w:rsidRPr="00E707BB" w:rsidRDefault="00080ED9" w:rsidP="00177CF7">
            <w:pPr>
              <w:pStyle w:val="TableText"/>
              <w:rPr>
                <w:rFonts w:ascii="Tw Cen MT" w:hAnsi="Tw Cen MT"/>
              </w:rPr>
            </w:pPr>
            <w:r w:rsidRPr="00E707BB">
              <w:rPr>
                <w:rFonts w:ascii="Tw Cen MT" w:hAnsi="Tw Cen MT"/>
              </w:rPr>
              <w:t>Catherine Roberts</w:t>
            </w:r>
          </w:p>
        </w:tc>
        <w:tc>
          <w:tcPr>
            <w:tcW w:w="3065" w:type="dxa"/>
          </w:tcPr>
          <w:p w14:paraId="5A7831D5" w14:textId="039274D0" w:rsidR="00177CF7" w:rsidRPr="00E707BB" w:rsidRDefault="00080ED9" w:rsidP="00177CF7">
            <w:pPr>
              <w:pStyle w:val="TableText"/>
              <w:rPr>
                <w:rFonts w:ascii="Tw Cen MT" w:hAnsi="Tw Cen MT"/>
              </w:rPr>
            </w:pPr>
            <w:r w:rsidRPr="00E707BB">
              <w:rPr>
                <w:rFonts w:ascii="Tw Cen MT" w:hAnsi="Tw Cen MT"/>
              </w:rPr>
              <w:t>Vice Chair</w:t>
            </w:r>
          </w:p>
        </w:tc>
        <w:tc>
          <w:tcPr>
            <w:tcW w:w="2746" w:type="dxa"/>
          </w:tcPr>
          <w:p w14:paraId="501CAC71" w14:textId="48C12BA2" w:rsidR="00177CF7" w:rsidRPr="00E707BB" w:rsidRDefault="00080ED9" w:rsidP="00177CF7">
            <w:pPr>
              <w:pStyle w:val="TableText"/>
              <w:rPr>
                <w:rFonts w:ascii="Tw Cen MT" w:hAnsi="Tw Cen MT"/>
              </w:rPr>
            </w:pPr>
            <w:r w:rsidRPr="00E707BB">
              <w:rPr>
                <w:rFonts w:ascii="Tw Cen MT" w:hAnsi="Tw Cen MT"/>
              </w:rPr>
              <w:t>Governance</w:t>
            </w:r>
          </w:p>
        </w:tc>
      </w:tr>
      <w:tr w:rsidR="00177CF7" w:rsidRPr="000E063D" w14:paraId="075655FF" w14:textId="77777777" w:rsidTr="00177CF7">
        <w:trPr>
          <w:jc w:val="center"/>
        </w:trPr>
        <w:tc>
          <w:tcPr>
            <w:tcW w:w="3539" w:type="dxa"/>
          </w:tcPr>
          <w:p w14:paraId="48437893" w14:textId="086E8923" w:rsidR="00177CF7" w:rsidRPr="00E707BB" w:rsidRDefault="00080ED9" w:rsidP="00177CF7">
            <w:pPr>
              <w:pStyle w:val="TableText"/>
              <w:rPr>
                <w:rFonts w:ascii="Tw Cen MT" w:hAnsi="Tw Cen MT"/>
              </w:rPr>
            </w:pPr>
            <w:r w:rsidRPr="00E707BB">
              <w:rPr>
                <w:rFonts w:ascii="Tw Cen MT" w:hAnsi="Tw Cen MT"/>
              </w:rPr>
              <w:t>Kevin Celniker</w:t>
            </w:r>
          </w:p>
        </w:tc>
        <w:tc>
          <w:tcPr>
            <w:tcW w:w="3065" w:type="dxa"/>
          </w:tcPr>
          <w:p w14:paraId="5F757DBC" w14:textId="3240A587" w:rsidR="00177CF7" w:rsidRPr="00E707BB" w:rsidRDefault="00080ED9" w:rsidP="00177CF7">
            <w:pPr>
              <w:pStyle w:val="TableText"/>
              <w:rPr>
                <w:rFonts w:ascii="Tw Cen MT" w:hAnsi="Tw Cen MT"/>
              </w:rPr>
            </w:pPr>
            <w:r w:rsidRPr="00E707BB">
              <w:rPr>
                <w:rFonts w:ascii="Tw Cen MT" w:hAnsi="Tw Cen MT"/>
              </w:rPr>
              <w:t>Treasurer</w:t>
            </w:r>
          </w:p>
        </w:tc>
        <w:tc>
          <w:tcPr>
            <w:tcW w:w="2746" w:type="dxa"/>
          </w:tcPr>
          <w:p w14:paraId="39658970" w14:textId="3FFBAD3C" w:rsidR="00177CF7" w:rsidRPr="00E707BB" w:rsidRDefault="00080ED9" w:rsidP="00177CF7">
            <w:pPr>
              <w:pStyle w:val="TableText"/>
              <w:rPr>
                <w:rFonts w:ascii="Tw Cen MT" w:hAnsi="Tw Cen MT"/>
              </w:rPr>
            </w:pPr>
            <w:r w:rsidRPr="00E707BB">
              <w:rPr>
                <w:rFonts w:ascii="Tw Cen MT" w:hAnsi="Tw Cen MT"/>
              </w:rPr>
              <w:t>Finance</w:t>
            </w:r>
            <w:r w:rsidR="00E707BB">
              <w:rPr>
                <w:rFonts w:ascii="Tw Cen MT" w:hAnsi="Tw Cen MT"/>
              </w:rPr>
              <w:t xml:space="preserve"> (chair)</w:t>
            </w:r>
            <w:r w:rsidRPr="00E707BB">
              <w:rPr>
                <w:rFonts w:ascii="Tw Cen MT" w:hAnsi="Tw Cen MT"/>
              </w:rPr>
              <w:t>, Facilities</w:t>
            </w:r>
          </w:p>
        </w:tc>
      </w:tr>
      <w:tr w:rsidR="00177CF7" w:rsidRPr="000E063D" w14:paraId="2EE148B8" w14:textId="77777777" w:rsidTr="00177CF7">
        <w:trPr>
          <w:jc w:val="center"/>
        </w:trPr>
        <w:tc>
          <w:tcPr>
            <w:tcW w:w="3539" w:type="dxa"/>
          </w:tcPr>
          <w:p w14:paraId="162DD5FB" w14:textId="2AA90A1A" w:rsidR="00177CF7" w:rsidRPr="00E707BB" w:rsidRDefault="00080ED9" w:rsidP="00177CF7">
            <w:pPr>
              <w:pStyle w:val="TableText"/>
              <w:rPr>
                <w:rFonts w:ascii="Tw Cen MT" w:hAnsi="Tw Cen MT"/>
              </w:rPr>
            </w:pPr>
            <w:r w:rsidRPr="00E707BB">
              <w:rPr>
                <w:rFonts w:ascii="Tw Cen MT" w:hAnsi="Tw Cen MT"/>
              </w:rPr>
              <w:t>Darnell Haywood</w:t>
            </w:r>
          </w:p>
        </w:tc>
        <w:tc>
          <w:tcPr>
            <w:tcW w:w="3065" w:type="dxa"/>
          </w:tcPr>
          <w:p w14:paraId="7776B674" w14:textId="577DDB5E" w:rsidR="00177CF7" w:rsidRPr="00E707BB" w:rsidRDefault="00080ED9" w:rsidP="00177CF7">
            <w:pPr>
              <w:pStyle w:val="TableText"/>
              <w:rPr>
                <w:rFonts w:ascii="Tw Cen MT" w:hAnsi="Tw Cen MT"/>
              </w:rPr>
            </w:pPr>
            <w:r w:rsidRPr="00E707BB">
              <w:rPr>
                <w:rFonts w:ascii="Tw Cen MT" w:hAnsi="Tw Cen MT"/>
              </w:rPr>
              <w:t>Secretary</w:t>
            </w:r>
          </w:p>
        </w:tc>
        <w:tc>
          <w:tcPr>
            <w:tcW w:w="2746" w:type="dxa"/>
          </w:tcPr>
          <w:p w14:paraId="204269CB" w14:textId="7DD90FD5" w:rsidR="00177CF7" w:rsidRPr="00E707BB" w:rsidRDefault="00080ED9" w:rsidP="00177CF7">
            <w:pPr>
              <w:pStyle w:val="TableText"/>
              <w:rPr>
                <w:rFonts w:ascii="Tw Cen MT" w:hAnsi="Tw Cen MT"/>
              </w:rPr>
            </w:pPr>
            <w:r w:rsidRPr="00E707BB">
              <w:rPr>
                <w:rFonts w:ascii="Tw Cen MT" w:hAnsi="Tw Cen MT"/>
              </w:rPr>
              <w:t xml:space="preserve">Development </w:t>
            </w:r>
          </w:p>
        </w:tc>
      </w:tr>
      <w:tr w:rsidR="00177CF7" w:rsidRPr="000E063D" w14:paraId="12026A60" w14:textId="77777777" w:rsidTr="00177CF7">
        <w:trPr>
          <w:jc w:val="center"/>
        </w:trPr>
        <w:tc>
          <w:tcPr>
            <w:tcW w:w="3539" w:type="dxa"/>
          </w:tcPr>
          <w:p w14:paraId="13AF889F" w14:textId="70312503" w:rsidR="00177CF7" w:rsidRPr="00E707BB" w:rsidRDefault="00F730CC" w:rsidP="00177CF7">
            <w:pPr>
              <w:pStyle w:val="TableText"/>
              <w:rPr>
                <w:rFonts w:ascii="Tw Cen MT" w:hAnsi="Tw Cen MT"/>
              </w:rPr>
            </w:pPr>
            <w:r w:rsidRPr="00E707BB">
              <w:rPr>
                <w:rFonts w:ascii="Tw Cen MT" w:hAnsi="Tw Cen MT"/>
              </w:rPr>
              <w:t>Misha Russo</w:t>
            </w:r>
          </w:p>
        </w:tc>
        <w:tc>
          <w:tcPr>
            <w:tcW w:w="3065" w:type="dxa"/>
          </w:tcPr>
          <w:p w14:paraId="50190411" w14:textId="2865D5C2" w:rsidR="00177CF7" w:rsidRPr="00E707BB" w:rsidRDefault="00177CF7" w:rsidP="00177CF7">
            <w:pPr>
              <w:pStyle w:val="TableText"/>
              <w:rPr>
                <w:rFonts w:ascii="Tw Cen MT" w:hAnsi="Tw Cen MT"/>
              </w:rPr>
            </w:pPr>
          </w:p>
        </w:tc>
        <w:tc>
          <w:tcPr>
            <w:tcW w:w="2746" w:type="dxa"/>
          </w:tcPr>
          <w:p w14:paraId="6ABDE4E1" w14:textId="5B205B12" w:rsidR="00177CF7" w:rsidRPr="00E707BB" w:rsidRDefault="00F730CC" w:rsidP="00177CF7">
            <w:pPr>
              <w:pStyle w:val="TableText"/>
              <w:rPr>
                <w:rFonts w:ascii="Tw Cen MT" w:hAnsi="Tw Cen MT"/>
              </w:rPr>
            </w:pPr>
            <w:r w:rsidRPr="00E707BB">
              <w:rPr>
                <w:rFonts w:ascii="Tw Cen MT" w:hAnsi="Tw Cen MT"/>
              </w:rPr>
              <w:t>Development (chair)</w:t>
            </w:r>
          </w:p>
        </w:tc>
      </w:tr>
      <w:tr w:rsidR="00177CF7" w:rsidRPr="000E063D" w14:paraId="4FDDB738" w14:textId="77777777" w:rsidTr="00177CF7">
        <w:trPr>
          <w:jc w:val="center"/>
        </w:trPr>
        <w:tc>
          <w:tcPr>
            <w:tcW w:w="3539" w:type="dxa"/>
          </w:tcPr>
          <w:p w14:paraId="01B7A82A" w14:textId="23B97F9C" w:rsidR="00177CF7" w:rsidRPr="00E707BB" w:rsidRDefault="00F730CC" w:rsidP="00177CF7">
            <w:pPr>
              <w:pStyle w:val="TableText"/>
              <w:rPr>
                <w:rFonts w:ascii="Tw Cen MT" w:hAnsi="Tw Cen MT"/>
              </w:rPr>
            </w:pPr>
            <w:r w:rsidRPr="00E707BB">
              <w:rPr>
                <w:rFonts w:ascii="Tw Cen MT" w:hAnsi="Tw Cen MT"/>
              </w:rPr>
              <w:t>Dan Greene</w:t>
            </w:r>
          </w:p>
        </w:tc>
        <w:tc>
          <w:tcPr>
            <w:tcW w:w="3065" w:type="dxa"/>
          </w:tcPr>
          <w:p w14:paraId="7DBB0B13" w14:textId="1E61556C" w:rsidR="00177CF7" w:rsidRPr="00E707BB" w:rsidRDefault="00177CF7" w:rsidP="00177CF7">
            <w:pPr>
              <w:pStyle w:val="TableText"/>
              <w:rPr>
                <w:rFonts w:ascii="Tw Cen MT" w:hAnsi="Tw Cen MT"/>
              </w:rPr>
            </w:pPr>
          </w:p>
        </w:tc>
        <w:tc>
          <w:tcPr>
            <w:tcW w:w="2746" w:type="dxa"/>
          </w:tcPr>
          <w:p w14:paraId="0BA4E479" w14:textId="29AF6054" w:rsidR="00177CF7" w:rsidRPr="00E707BB" w:rsidRDefault="00F730CC" w:rsidP="00177CF7">
            <w:pPr>
              <w:pStyle w:val="TableText"/>
              <w:rPr>
                <w:rFonts w:ascii="Tw Cen MT" w:hAnsi="Tw Cen MT"/>
              </w:rPr>
            </w:pPr>
            <w:r w:rsidRPr="00E707BB">
              <w:rPr>
                <w:rFonts w:ascii="Tw Cen MT" w:hAnsi="Tw Cen MT"/>
              </w:rPr>
              <w:t>Development?</w:t>
            </w:r>
          </w:p>
        </w:tc>
      </w:tr>
      <w:tr w:rsidR="00177CF7" w:rsidRPr="000E063D" w14:paraId="14721738" w14:textId="77777777" w:rsidTr="00177CF7">
        <w:trPr>
          <w:jc w:val="center"/>
        </w:trPr>
        <w:tc>
          <w:tcPr>
            <w:tcW w:w="3539" w:type="dxa"/>
          </w:tcPr>
          <w:p w14:paraId="07CAC134" w14:textId="2662BABE" w:rsidR="00177CF7" w:rsidRPr="00E707BB" w:rsidRDefault="00F730CC" w:rsidP="00177CF7">
            <w:pPr>
              <w:pStyle w:val="TableText"/>
              <w:rPr>
                <w:rFonts w:ascii="Tw Cen MT" w:hAnsi="Tw Cen MT"/>
              </w:rPr>
            </w:pPr>
            <w:r w:rsidRPr="00E707BB">
              <w:rPr>
                <w:rFonts w:ascii="Tw Cen MT" w:hAnsi="Tw Cen MT"/>
              </w:rPr>
              <w:t>Ken Newsom</w:t>
            </w:r>
          </w:p>
        </w:tc>
        <w:tc>
          <w:tcPr>
            <w:tcW w:w="3065" w:type="dxa"/>
          </w:tcPr>
          <w:p w14:paraId="0862A3E9" w14:textId="34A2CEE9" w:rsidR="00177CF7" w:rsidRPr="00E707BB" w:rsidRDefault="00177CF7" w:rsidP="00177CF7">
            <w:pPr>
              <w:pStyle w:val="TableText"/>
              <w:rPr>
                <w:rFonts w:ascii="Tw Cen MT" w:hAnsi="Tw Cen MT"/>
              </w:rPr>
            </w:pPr>
          </w:p>
        </w:tc>
        <w:tc>
          <w:tcPr>
            <w:tcW w:w="2746" w:type="dxa"/>
          </w:tcPr>
          <w:p w14:paraId="4B36E814" w14:textId="6B1928A5" w:rsidR="00177CF7" w:rsidRPr="00E707BB" w:rsidRDefault="00F730CC" w:rsidP="00177CF7">
            <w:pPr>
              <w:pStyle w:val="TableText"/>
              <w:rPr>
                <w:rFonts w:ascii="Tw Cen MT" w:hAnsi="Tw Cen MT"/>
              </w:rPr>
            </w:pPr>
            <w:r w:rsidRPr="00E707BB">
              <w:rPr>
                <w:rFonts w:ascii="Tw Cen MT" w:hAnsi="Tw Cen MT"/>
              </w:rPr>
              <w:t>Finance</w:t>
            </w:r>
          </w:p>
        </w:tc>
      </w:tr>
      <w:tr w:rsidR="00177CF7" w:rsidRPr="000E063D" w14:paraId="0AC705E8" w14:textId="77777777" w:rsidTr="00177CF7">
        <w:trPr>
          <w:jc w:val="center"/>
        </w:trPr>
        <w:tc>
          <w:tcPr>
            <w:tcW w:w="3539" w:type="dxa"/>
          </w:tcPr>
          <w:p w14:paraId="77F16B8C" w14:textId="1F694E2F" w:rsidR="00177CF7" w:rsidRPr="00E707BB" w:rsidRDefault="00F730CC" w:rsidP="00177CF7">
            <w:pPr>
              <w:pStyle w:val="TableText"/>
              <w:rPr>
                <w:rFonts w:ascii="Tw Cen MT" w:hAnsi="Tw Cen MT"/>
              </w:rPr>
            </w:pPr>
            <w:r w:rsidRPr="00E707BB">
              <w:rPr>
                <w:rFonts w:ascii="Tw Cen MT" w:hAnsi="Tw Cen MT"/>
              </w:rPr>
              <w:t>Amanda Winkelsas</w:t>
            </w:r>
          </w:p>
        </w:tc>
        <w:tc>
          <w:tcPr>
            <w:tcW w:w="3065" w:type="dxa"/>
          </w:tcPr>
          <w:p w14:paraId="03B7E082" w14:textId="25E92111" w:rsidR="00177CF7" w:rsidRPr="00E707BB" w:rsidRDefault="00177CF7" w:rsidP="00177CF7">
            <w:pPr>
              <w:pStyle w:val="TableText"/>
              <w:rPr>
                <w:rFonts w:ascii="Tw Cen MT" w:hAnsi="Tw Cen MT"/>
              </w:rPr>
            </w:pPr>
          </w:p>
        </w:tc>
        <w:tc>
          <w:tcPr>
            <w:tcW w:w="2746" w:type="dxa"/>
          </w:tcPr>
          <w:p w14:paraId="402C9E70" w14:textId="6D0A1F51" w:rsidR="00177CF7" w:rsidRPr="00E707BB" w:rsidRDefault="00F730CC" w:rsidP="00177CF7">
            <w:pPr>
              <w:pStyle w:val="TableText"/>
              <w:rPr>
                <w:rFonts w:ascii="Tw Cen MT" w:hAnsi="Tw Cen MT"/>
              </w:rPr>
            </w:pPr>
            <w:r w:rsidRPr="00E707BB">
              <w:rPr>
                <w:rFonts w:ascii="Tw Cen MT" w:hAnsi="Tw Cen MT"/>
              </w:rPr>
              <w:t>Academic Accountability (chair)</w:t>
            </w:r>
          </w:p>
        </w:tc>
      </w:tr>
      <w:tr w:rsidR="00177CF7" w:rsidRPr="000E063D" w14:paraId="15A32400" w14:textId="77777777" w:rsidTr="00177CF7">
        <w:trPr>
          <w:jc w:val="center"/>
        </w:trPr>
        <w:tc>
          <w:tcPr>
            <w:tcW w:w="3539" w:type="dxa"/>
          </w:tcPr>
          <w:p w14:paraId="103A593F" w14:textId="6CF77DDC" w:rsidR="00177CF7" w:rsidRPr="00E707BB" w:rsidRDefault="00BF3AB3" w:rsidP="00177CF7">
            <w:pPr>
              <w:pStyle w:val="TableText"/>
              <w:rPr>
                <w:rFonts w:ascii="Tw Cen MT" w:hAnsi="Tw Cen MT"/>
              </w:rPr>
            </w:pPr>
            <w:r w:rsidRPr="00E707BB">
              <w:rPr>
                <w:rFonts w:ascii="Tw Cen MT" w:hAnsi="Tw Cen MT"/>
              </w:rPr>
              <w:t>Bobbie Finocchio</w:t>
            </w:r>
          </w:p>
        </w:tc>
        <w:tc>
          <w:tcPr>
            <w:tcW w:w="3065" w:type="dxa"/>
          </w:tcPr>
          <w:p w14:paraId="297E6FB3" w14:textId="6DA43FEE" w:rsidR="00177CF7" w:rsidRPr="00E707BB" w:rsidRDefault="00177CF7" w:rsidP="00177CF7">
            <w:pPr>
              <w:pStyle w:val="TableText"/>
              <w:rPr>
                <w:rFonts w:ascii="Tw Cen MT" w:hAnsi="Tw Cen MT"/>
              </w:rPr>
            </w:pPr>
          </w:p>
        </w:tc>
        <w:tc>
          <w:tcPr>
            <w:tcW w:w="2746" w:type="dxa"/>
          </w:tcPr>
          <w:p w14:paraId="728FE723" w14:textId="79F7D96C" w:rsidR="00177CF7" w:rsidRPr="00E707BB" w:rsidRDefault="00BF3AB3" w:rsidP="00177CF7">
            <w:pPr>
              <w:pStyle w:val="TableText"/>
              <w:rPr>
                <w:rFonts w:ascii="Tw Cen MT" w:hAnsi="Tw Cen MT"/>
              </w:rPr>
            </w:pPr>
            <w:r w:rsidRPr="00E707BB">
              <w:rPr>
                <w:rFonts w:ascii="Tw Cen MT" w:hAnsi="Tw Cen MT"/>
              </w:rPr>
              <w:t xml:space="preserve">Academic Accountability </w:t>
            </w:r>
          </w:p>
        </w:tc>
      </w:tr>
      <w:tr w:rsidR="00177CF7" w:rsidRPr="000E063D" w14:paraId="1FA49E68" w14:textId="77777777" w:rsidTr="00177CF7">
        <w:trPr>
          <w:jc w:val="center"/>
        </w:trPr>
        <w:tc>
          <w:tcPr>
            <w:tcW w:w="3539" w:type="dxa"/>
          </w:tcPr>
          <w:p w14:paraId="2EA8D843" w14:textId="1C8AD32A" w:rsidR="00177CF7" w:rsidRPr="00E707BB" w:rsidRDefault="00C74F93" w:rsidP="00177CF7">
            <w:pPr>
              <w:pStyle w:val="TableText"/>
              <w:rPr>
                <w:rFonts w:ascii="Tw Cen MT" w:hAnsi="Tw Cen MT"/>
              </w:rPr>
            </w:pPr>
            <w:r w:rsidRPr="00E707BB">
              <w:rPr>
                <w:rFonts w:ascii="Tw Cen MT" w:hAnsi="Tw Cen MT"/>
              </w:rPr>
              <w:t>Aaron Bennett</w:t>
            </w:r>
          </w:p>
        </w:tc>
        <w:tc>
          <w:tcPr>
            <w:tcW w:w="3065" w:type="dxa"/>
          </w:tcPr>
          <w:p w14:paraId="1E7D4807" w14:textId="14D3A0A4" w:rsidR="00177CF7" w:rsidRPr="00E707BB" w:rsidRDefault="00177CF7" w:rsidP="00177CF7">
            <w:pPr>
              <w:pStyle w:val="TableText"/>
              <w:rPr>
                <w:rFonts w:ascii="Tw Cen MT" w:hAnsi="Tw Cen MT"/>
              </w:rPr>
            </w:pPr>
          </w:p>
        </w:tc>
        <w:tc>
          <w:tcPr>
            <w:tcW w:w="2746" w:type="dxa"/>
          </w:tcPr>
          <w:p w14:paraId="4740E52C" w14:textId="76E061F2" w:rsidR="00177CF7" w:rsidRPr="00E707BB" w:rsidRDefault="00C74F93" w:rsidP="00177CF7">
            <w:pPr>
              <w:pStyle w:val="TableText"/>
              <w:rPr>
                <w:rFonts w:ascii="Tw Cen MT" w:hAnsi="Tw Cen MT"/>
              </w:rPr>
            </w:pPr>
            <w:r w:rsidRPr="00E707BB">
              <w:rPr>
                <w:rFonts w:ascii="Tw Cen MT" w:hAnsi="Tw Cen MT"/>
              </w:rPr>
              <w:t>Facilities</w:t>
            </w:r>
          </w:p>
        </w:tc>
      </w:tr>
      <w:tr w:rsidR="00177CF7" w:rsidRPr="000E063D" w14:paraId="380E7F31" w14:textId="77777777" w:rsidTr="00177CF7">
        <w:trPr>
          <w:jc w:val="center"/>
        </w:trPr>
        <w:tc>
          <w:tcPr>
            <w:tcW w:w="3539" w:type="dxa"/>
          </w:tcPr>
          <w:p w14:paraId="095DB1F5" w14:textId="54253F2C" w:rsidR="00177CF7" w:rsidRPr="00E707BB" w:rsidRDefault="00C74F93" w:rsidP="00177CF7">
            <w:pPr>
              <w:pStyle w:val="TableText"/>
              <w:rPr>
                <w:rFonts w:ascii="Tw Cen MT" w:hAnsi="Tw Cen MT"/>
              </w:rPr>
            </w:pPr>
            <w:r w:rsidRPr="00E707BB">
              <w:rPr>
                <w:rFonts w:ascii="Tw Cen MT" w:hAnsi="Tw Cen MT"/>
              </w:rPr>
              <w:t>Rebecca Izzo</w:t>
            </w:r>
          </w:p>
        </w:tc>
        <w:tc>
          <w:tcPr>
            <w:tcW w:w="3065" w:type="dxa"/>
          </w:tcPr>
          <w:p w14:paraId="6A80C3FE" w14:textId="33F55101" w:rsidR="00177CF7" w:rsidRPr="00E707BB" w:rsidRDefault="00177CF7" w:rsidP="00177CF7">
            <w:pPr>
              <w:pStyle w:val="TableText"/>
              <w:rPr>
                <w:rFonts w:ascii="Tw Cen MT" w:hAnsi="Tw Cen MT"/>
              </w:rPr>
            </w:pPr>
          </w:p>
        </w:tc>
        <w:tc>
          <w:tcPr>
            <w:tcW w:w="2746" w:type="dxa"/>
          </w:tcPr>
          <w:p w14:paraId="68EBC5C1" w14:textId="67AD3C57" w:rsidR="00177CF7" w:rsidRPr="00E707BB" w:rsidRDefault="00C74F93" w:rsidP="00177CF7">
            <w:pPr>
              <w:pStyle w:val="TableText"/>
              <w:rPr>
                <w:rFonts w:ascii="Tw Cen MT" w:hAnsi="Tw Cen MT"/>
              </w:rPr>
            </w:pPr>
            <w:r w:rsidRPr="00E707BB">
              <w:rPr>
                <w:rFonts w:ascii="Tw Cen MT" w:hAnsi="Tw Cen MT"/>
              </w:rPr>
              <w:t xml:space="preserve">Governance </w:t>
            </w:r>
          </w:p>
        </w:tc>
      </w:tr>
      <w:tr w:rsidR="00177CF7" w:rsidRPr="000E063D" w14:paraId="48E93D0D" w14:textId="77777777" w:rsidTr="00177CF7">
        <w:trPr>
          <w:jc w:val="center"/>
        </w:trPr>
        <w:tc>
          <w:tcPr>
            <w:tcW w:w="3539" w:type="dxa"/>
          </w:tcPr>
          <w:p w14:paraId="1F323ADE" w14:textId="42302DD4" w:rsidR="00177CF7" w:rsidRPr="00E707BB" w:rsidRDefault="00423320" w:rsidP="00177CF7">
            <w:pPr>
              <w:pStyle w:val="TableText"/>
              <w:rPr>
                <w:rFonts w:ascii="Tw Cen MT" w:hAnsi="Tw Cen MT"/>
              </w:rPr>
            </w:pPr>
            <w:r w:rsidRPr="00E707BB">
              <w:rPr>
                <w:rFonts w:ascii="Tw Cen MT" w:hAnsi="Tw Cen MT"/>
              </w:rPr>
              <w:t>Derrick Parson</w:t>
            </w:r>
          </w:p>
        </w:tc>
        <w:tc>
          <w:tcPr>
            <w:tcW w:w="3065" w:type="dxa"/>
          </w:tcPr>
          <w:p w14:paraId="650915BC" w14:textId="4D5AEB7E" w:rsidR="00177CF7" w:rsidRPr="00E707BB" w:rsidRDefault="00177CF7" w:rsidP="00177CF7">
            <w:pPr>
              <w:pStyle w:val="TableText"/>
              <w:rPr>
                <w:rFonts w:ascii="Tw Cen MT" w:hAnsi="Tw Cen MT"/>
              </w:rPr>
            </w:pPr>
          </w:p>
        </w:tc>
        <w:tc>
          <w:tcPr>
            <w:tcW w:w="2746" w:type="dxa"/>
          </w:tcPr>
          <w:p w14:paraId="2893CB41" w14:textId="5F614DAB" w:rsidR="00177CF7" w:rsidRPr="00E707BB" w:rsidRDefault="00B25B2B" w:rsidP="00177CF7">
            <w:pPr>
              <w:pStyle w:val="TableText"/>
              <w:rPr>
                <w:rFonts w:ascii="Tw Cen MT" w:hAnsi="Tw Cen MT"/>
              </w:rPr>
            </w:pPr>
            <w:r>
              <w:rPr>
                <w:rFonts w:ascii="Tw Cen MT" w:hAnsi="Tw Cen MT"/>
              </w:rPr>
              <w:t>Academic Accountability</w:t>
            </w:r>
          </w:p>
        </w:tc>
      </w:tr>
    </w:tbl>
    <w:p w14:paraId="34C06078" w14:textId="77777777" w:rsidR="00056BFE" w:rsidRPr="000E063D" w:rsidRDefault="00056BFE" w:rsidP="00056BFE">
      <w:pPr>
        <w:widowControl w:val="0"/>
        <w:rPr>
          <w:rFonts w:ascii="Tw Cen MT" w:hAnsi="Tw Cen MT"/>
        </w:rPr>
      </w:pPr>
    </w:p>
    <w:p w14:paraId="70B96A30" w14:textId="77777777" w:rsidR="00056BFE" w:rsidRPr="000E063D" w:rsidRDefault="00056BFE" w:rsidP="00056BFE">
      <w:pPr>
        <w:widowControl w:val="0"/>
        <w:rPr>
          <w:rFonts w:ascii="Tw Cen MT" w:hAnsi="Tw Cen MT"/>
          <w:b/>
        </w:rPr>
      </w:pPr>
    </w:p>
    <w:p w14:paraId="142B9CA4" w14:textId="77777777" w:rsidR="00056BFE" w:rsidRPr="000E063D" w:rsidRDefault="00056BFE" w:rsidP="00056BFE">
      <w:pPr>
        <w:widowControl w:val="0"/>
        <w:rPr>
          <w:rFonts w:ascii="Tw Cen MT" w:hAnsi="Tw Cen MT"/>
          <w:b/>
        </w:rPr>
      </w:pPr>
    </w:p>
    <w:p w14:paraId="6824F3F3" w14:textId="77777777" w:rsidR="00056BFE" w:rsidRPr="000E063D" w:rsidRDefault="00056BFE" w:rsidP="00056BFE">
      <w:pPr>
        <w:widowControl w:val="0"/>
        <w:rPr>
          <w:rFonts w:ascii="Tw Cen MT" w:hAnsi="Tw Cen MT"/>
          <w:b/>
        </w:rPr>
      </w:pPr>
    </w:p>
    <w:p w14:paraId="2B07AF8E" w14:textId="48A87A69" w:rsidR="00056BFE" w:rsidRPr="000E063D" w:rsidRDefault="00087BA7" w:rsidP="00056BFE">
      <w:pPr>
        <w:widowControl w:val="0"/>
        <w:rPr>
          <w:rFonts w:ascii="Tw Cen MT" w:hAnsi="Tw Cen MT"/>
          <w:b/>
        </w:rPr>
      </w:pPr>
      <w:r w:rsidRPr="000E063D">
        <w:rPr>
          <w:rFonts w:ascii="Tw Cen MT" w:hAnsi="Tw Cen MT"/>
          <w:b/>
          <w:bCs/>
        </w:rPr>
        <w:t>Joelle Formato</w:t>
      </w:r>
      <w:r w:rsidR="00056BFE" w:rsidRPr="000E063D">
        <w:rPr>
          <w:rFonts w:ascii="Tw Cen MT" w:hAnsi="Tw Cen MT"/>
          <w:b/>
          <w:bCs/>
        </w:rPr>
        <w:t xml:space="preserve"> has served as the </w:t>
      </w:r>
      <w:r w:rsidRPr="000E063D">
        <w:rPr>
          <w:rFonts w:ascii="Tw Cen MT" w:hAnsi="Tw Cen MT"/>
          <w:b/>
          <w:bCs/>
        </w:rPr>
        <w:t>Head of School</w:t>
      </w:r>
      <w:r w:rsidR="00056BFE" w:rsidRPr="000E063D">
        <w:rPr>
          <w:rFonts w:ascii="Tw Cen MT" w:hAnsi="Tw Cen MT"/>
          <w:b/>
          <w:bCs/>
        </w:rPr>
        <w:t xml:space="preserve"> since </w:t>
      </w:r>
      <w:r w:rsidRPr="000E063D">
        <w:rPr>
          <w:rFonts w:ascii="Tw Cen MT" w:hAnsi="Tw Cen MT"/>
          <w:b/>
          <w:bCs/>
        </w:rPr>
        <w:t xml:space="preserve">September 1, 2017. </w:t>
      </w:r>
      <w:r w:rsidR="00056BFE" w:rsidRPr="000E063D">
        <w:rPr>
          <w:rFonts w:ascii="Tw Cen MT" w:hAnsi="Tw Cen MT"/>
          <w:b/>
          <w:bCs/>
        </w:rPr>
        <w:br w:type="page"/>
      </w:r>
    </w:p>
    <w:p w14:paraId="3EB7E392" w14:textId="4528ACC8" w:rsidR="552ED16F" w:rsidRPr="000E063D" w:rsidRDefault="552ED16F" w:rsidP="52172790">
      <w:pPr>
        <w:rPr>
          <w:rFonts w:ascii="Tw Cen MT" w:eastAsia="Calibri" w:hAnsi="Tw Cen MT" w:cs="Calibri"/>
          <w:caps/>
          <w:color w:val="365F91" w:themeColor="accent1" w:themeShade="BF"/>
          <w:sz w:val="36"/>
          <w:szCs w:val="36"/>
        </w:rPr>
      </w:pPr>
      <w:r w:rsidRPr="000E063D">
        <w:rPr>
          <w:rFonts w:ascii="Tw Cen MT" w:eastAsia="Calibri" w:hAnsi="Tw Cen MT" w:cs="Calibri"/>
          <w:caps/>
          <w:color w:val="365F91" w:themeColor="accent1" w:themeShade="BF"/>
          <w:sz w:val="36"/>
          <w:szCs w:val="36"/>
        </w:rPr>
        <w:lastRenderedPageBreak/>
        <w:t>SCHOOL OVERVIEW</w:t>
      </w:r>
    </w:p>
    <w:p w14:paraId="28A11239" w14:textId="77777777" w:rsidR="003E2FB3" w:rsidRPr="000E063D" w:rsidRDefault="003E2FB3" w:rsidP="003E2FB3">
      <w:pPr>
        <w:spacing w:after="0"/>
        <w:jc w:val="both"/>
        <w:rPr>
          <w:rFonts w:ascii="Tw Cen MT" w:hAnsi="Tw Cen MT"/>
          <w:i/>
        </w:rPr>
      </w:pPr>
      <w:r w:rsidRPr="000E063D">
        <w:rPr>
          <w:rFonts w:ascii="Tw Cen MT" w:hAnsi="Tw Cen MT"/>
          <w:i/>
        </w:rPr>
        <w:t>Through rigorous academics, high-quality instruction and leadership development,</w:t>
      </w:r>
      <w:r w:rsidRPr="000E063D">
        <w:rPr>
          <w:rFonts w:ascii="Tw Cen MT" w:hAnsi="Tw Cen MT"/>
          <w:b/>
          <w:bCs/>
          <w:i/>
        </w:rPr>
        <w:t> Persistence Preparatory Academy Charter School</w:t>
      </w:r>
      <w:r w:rsidRPr="000E063D">
        <w:rPr>
          <w:rFonts w:ascii="Tw Cen MT" w:hAnsi="Tw Cen MT"/>
          <w:i/>
        </w:rPr>
        <w:t> ensures that all K through 8 scholars are firmly on the path to succeed within a four-year college and create positive change within their communities. </w:t>
      </w:r>
    </w:p>
    <w:p w14:paraId="4644E99A" w14:textId="77777777" w:rsidR="003E2FB3" w:rsidRPr="000E063D" w:rsidRDefault="003E2FB3" w:rsidP="003E2FB3">
      <w:pPr>
        <w:spacing w:after="0"/>
        <w:jc w:val="both"/>
        <w:rPr>
          <w:rFonts w:ascii="Tw Cen MT" w:hAnsi="Tw Cen MT"/>
        </w:rPr>
      </w:pPr>
    </w:p>
    <w:p w14:paraId="5CC28B11" w14:textId="0007F161" w:rsidR="003E2FB3" w:rsidRPr="000E063D" w:rsidRDefault="003E2FB3" w:rsidP="003E2FB3">
      <w:pPr>
        <w:spacing w:after="0"/>
        <w:jc w:val="both"/>
        <w:rPr>
          <w:rFonts w:ascii="Tw Cen MT" w:hAnsi="Tw Cen MT"/>
        </w:rPr>
      </w:pPr>
      <w:r w:rsidRPr="000E063D">
        <w:rPr>
          <w:rFonts w:ascii="Tw Cen MT" w:hAnsi="Tw Cen MT"/>
        </w:rPr>
        <w:t xml:space="preserve">Persistence Preparatory Academy Charter School (Persistence Prep) completed its </w:t>
      </w:r>
      <w:r w:rsidR="001F1395" w:rsidRPr="000E063D">
        <w:rPr>
          <w:rFonts w:ascii="Tw Cen MT" w:hAnsi="Tw Cen MT"/>
        </w:rPr>
        <w:t>fourth</w:t>
      </w:r>
      <w:r w:rsidRPr="000E063D">
        <w:rPr>
          <w:rFonts w:ascii="Tw Cen MT" w:hAnsi="Tw Cen MT"/>
        </w:rPr>
        <w:t xml:space="preserve"> year of operation in the 202</w:t>
      </w:r>
      <w:r w:rsidR="001F1395" w:rsidRPr="000E063D">
        <w:rPr>
          <w:rFonts w:ascii="Tw Cen MT" w:hAnsi="Tw Cen MT"/>
        </w:rPr>
        <w:t>1</w:t>
      </w:r>
      <w:r w:rsidRPr="000E063D">
        <w:rPr>
          <w:rFonts w:ascii="Tw Cen MT" w:hAnsi="Tw Cen MT"/>
        </w:rPr>
        <w:t>-202</w:t>
      </w:r>
      <w:r w:rsidR="001F1395" w:rsidRPr="000E063D">
        <w:rPr>
          <w:rFonts w:ascii="Tw Cen MT" w:hAnsi="Tw Cen MT"/>
        </w:rPr>
        <w:t>2</w:t>
      </w:r>
      <w:r w:rsidRPr="000E063D">
        <w:rPr>
          <w:rFonts w:ascii="Tw Cen MT" w:hAnsi="Tw Cen MT"/>
        </w:rPr>
        <w:t xml:space="preserve"> school year, serving 2</w:t>
      </w:r>
      <w:r w:rsidR="001F1395" w:rsidRPr="000E063D">
        <w:rPr>
          <w:rFonts w:ascii="Tw Cen MT" w:hAnsi="Tw Cen MT"/>
        </w:rPr>
        <w:t>71</w:t>
      </w:r>
      <w:r w:rsidRPr="000E063D">
        <w:rPr>
          <w:rFonts w:ascii="Tw Cen MT" w:hAnsi="Tw Cen MT"/>
        </w:rPr>
        <w:t xml:space="preserve"> scholars in grades K-</w:t>
      </w:r>
      <w:r w:rsidR="001F1395" w:rsidRPr="000E063D">
        <w:rPr>
          <w:rFonts w:ascii="Tw Cen MT" w:hAnsi="Tw Cen MT"/>
        </w:rPr>
        <w:t>4</w:t>
      </w:r>
      <w:r w:rsidRPr="000E063D">
        <w:rPr>
          <w:rFonts w:ascii="Tw Cen MT" w:hAnsi="Tw Cen MT"/>
        </w:rPr>
        <w:t xml:space="preserve">.  Persistence Prep was born out of the Building Excellent Schools Fellowship.  Our Founder and Head of School, Joelle Formato, was a 2016-2017 BES Fellow, and had the opportunity to observe best practices from over 50 high-performing charter schools across the country.  </w:t>
      </w:r>
      <w:r w:rsidR="00DC4000" w:rsidRPr="000E063D">
        <w:rPr>
          <w:rFonts w:ascii="Tw Cen MT" w:hAnsi="Tw Cen MT"/>
        </w:rPr>
        <w:t xml:space="preserve">This school year saw the completed renovation of our new school building, with our school community relocating in October 2021.  Our new building features </w:t>
      </w:r>
      <w:r w:rsidR="00B25ADB" w:rsidRPr="000E063D">
        <w:rPr>
          <w:rFonts w:ascii="Tw Cen MT" w:hAnsi="Tw Cen MT"/>
        </w:rPr>
        <w:t xml:space="preserve">increased classroom space, a library, a dance studio, a full gymnasium, a mindfulness room, and teacher PD training rooms, among other spaces.  </w:t>
      </w:r>
      <w:r w:rsidR="00B12692" w:rsidRPr="000E063D">
        <w:rPr>
          <w:rFonts w:ascii="Tw Cen MT" w:hAnsi="Tw Cen MT"/>
        </w:rPr>
        <w:t xml:space="preserve">The new space allows us to further live out our mission of providing a high-quality education to all scholars. </w:t>
      </w:r>
    </w:p>
    <w:p w14:paraId="639A96F3" w14:textId="77777777" w:rsidR="003E2FB3" w:rsidRPr="000E063D" w:rsidRDefault="003E2FB3" w:rsidP="003E2FB3">
      <w:pPr>
        <w:spacing w:after="0"/>
        <w:jc w:val="both"/>
        <w:rPr>
          <w:rFonts w:ascii="Tw Cen MT" w:hAnsi="Tw Cen MT"/>
        </w:rPr>
      </w:pPr>
    </w:p>
    <w:p w14:paraId="3C9DDCA4" w14:textId="77777777" w:rsidR="003E2FB3" w:rsidRPr="000E063D" w:rsidRDefault="003E2FB3" w:rsidP="003E2FB3">
      <w:pPr>
        <w:spacing w:after="0"/>
        <w:jc w:val="both"/>
        <w:rPr>
          <w:rFonts w:ascii="Tw Cen MT" w:hAnsi="Tw Cen MT"/>
        </w:rPr>
      </w:pPr>
      <w:r w:rsidRPr="000E063D">
        <w:rPr>
          <w:rFonts w:ascii="Tw Cen MT" w:hAnsi="Tw Cen MT"/>
        </w:rPr>
        <w:t xml:space="preserve">Our mission, shown above, is grounded in our five core beliefs: </w:t>
      </w:r>
    </w:p>
    <w:p w14:paraId="0F265CCB" w14:textId="77777777" w:rsidR="003E2FB3" w:rsidRPr="000E063D" w:rsidRDefault="003E2FB3" w:rsidP="003E2FB3">
      <w:pPr>
        <w:spacing w:after="0"/>
        <w:jc w:val="both"/>
        <w:rPr>
          <w:rFonts w:ascii="Tw Cen MT" w:hAnsi="Tw Cen MT"/>
        </w:rPr>
      </w:pPr>
    </w:p>
    <w:p w14:paraId="3E9526A3" w14:textId="77777777" w:rsidR="00DE7B6F" w:rsidRPr="00DE7B6F" w:rsidRDefault="00DE7B6F" w:rsidP="00DE7B6F">
      <w:pPr>
        <w:numPr>
          <w:ilvl w:val="0"/>
          <w:numId w:val="24"/>
        </w:numPr>
        <w:spacing w:after="0"/>
        <w:jc w:val="both"/>
        <w:rPr>
          <w:rFonts w:ascii="Tw Cen MT" w:hAnsi="Tw Cen MT"/>
          <w:b/>
          <w:sz w:val="24"/>
          <w:szCs w:val="24"/>
          <w:lang w:val="en"/>
        </w:rPr>
      </w:pPr>
      <w:r w:rsidRPr="00DE7B6F">
        <w:rPr>
          <w:rFonts w:ascii="Tw Cen MT" w:hAnsi="Tw Cen MT"/>
          <w:b/>
          <w:sz w:val="24"/>
          <w:szCs w:val="24"/>
          <w:lang w:val="en"/>
        </w:rPr>
        <w:t>We believe that high-quality teaching is the key driver of academic achievement.</w:t>
      </w:r>
    </w:p>
    <w:p w14:paraId="7AF8102E" w14:textId="77777777" w:rsidR="00DE7B6F" w:rsidRPr="00DE7B6F" w:rsidRDefault="00DE7B6F" w:rsidP="00DE7B6F">
      <w:pPr>
        <w:spacing w:after="0"/>
        <w:jc w:val="both"/>
        <w:rPr>
          <w:rFonts w:ascii="Tw Cen MT" w:hAnsi="Tw Cen MT"/>
          <w:bCs/>
          <w:sz w:val="24"/>
          <w:szCs w:val="24"/>
          <w:lang w:val="en"/>
        </w:rPr>
      </w:pPr>
    </w:p>
    <w:p w14:paraId="1991B42B" w14:textId="77777777" w:rsidR="00DE7B6F" w:rsidRPr="00DE7B6F" w:rsidRDefault="00DE7B6F" w:rsidP="001F1395">
      <w:pPr>
        <w:spacing w:after="0"/>
        <w:ind w:left="232"/>
        <w:jc w:val="both"/>
        <w:rPr>
          <w:rFonts w:ascii="Tw Cen MT" w:hAnsi="Tw Cen MT"/>
          <w:bCs/>
          <w:sz w:val="24"/>
          <w:szCs w:val="24"/>
          <w:lang w:val="en"/>
        </w:rPr>
      </w:pPr>
      <w:r w:rsidRPr="00DE7B6F">
        <w:rPr>
          <w:rFonts w:ascii="Tw Cen MT" w:hAnsi="Tw Cen MT"/>
          <w:bCs/>
          <w:sz w:val="24"/>
          <w:szCs w:val="24"/>
          <w:lang w:val="en"/>
        </w:rPr>
        <w:t xml:space="preserve">Persistence Prep fundamentally believes that every classroom must be led by an engaging, highly skilled, strategically supported, and effective teacher. We consider a strong teacher to be the number one factor in ensuring scholar achievement. To guarantee a strong teacher in every classroom, Persistence Prep focuses extensive time and resources into the recruitment, development, and retention of strong teachers. Each year, we have dedicated significant financial resources to professional development opportunities and continue to prioritize teacher observation, feedback and coaching as a main priority of our instructional leadership team.  We believe in the power of retaining strong staff and still have 9 of 14 founding members on staff (64%) and have 32 of our 35 staff members (91%) from 2021-2022 returning for the year ahead. </w:t>
      </w:r>
    </w:p>
    <w:p w14:paraId="05B9880D" w14:textId="77777777" w:rsidR="00DE7B6F" w:rsidRPr="00DE7B6F" w:rsidRDefault="00DE7B6F" w:rsidP="00DE7B6F">
      <w:pPr>
        <w:spacing w:after="0"/>
        <w:jc w:val="both"/>
        <w:rPr>
          <w:rFonts w:ascii="Tw Cen MT" w:hAnsi="Tw Cen MT"/>
          <w:bCs/>
          <w:sz w:val="24"/>
          <w:szCs w:val="24"/>
          <w:lang w:val="en"/>
        </w:rPr>
      </w:pPr>
    </w:p>
    <w:p w14:paraId="39A51791" w14:textId="77777777" w:rsidR="00DE7B6F" w:rsidRPr="00DE7B6F" w:rsidRDefault="00DE7B6F" w:rsidP="00DE7B6F">
      <w:pPr>
        <w:spacing w:after="0"/>
        <w:jc w:val="both"/>
        <w:rPr>
          <w:rFonts w:ascii="Tw Cen MT" w:hAnsi="Tw Cen MT"/>
          <w:bCs/>
          <w:sz w:val="24"/>
          <w:szCs w:val="24"/>
          <w:lang w:val="en"/>
        </w:rPr>
      </w:pPr>
    </w:p>
    <w:p w14:paraId="0D85DC09" w14:textId="77777777" w:rsidR="00DE7B6F" w:rsidRPr="00DE7B6F" w:rsidRDefault="00DE7B6F" w:rsidP="00DE7B6F">
      <w:pPr>
        <w:numPr>
          <w:ilvl w:val="0"/>
          <w:numId w:val="24"/>
        </w:numPr>
        <w:spacing w:after="0"/>
        <w:jc w:val="both"/>
        <w:rPr>
          <w:rFonts w:ascii="Tw Cen MT" w:hAnsi="Tw Cen MT"/>
          <w:b/>
          <w:sz w:val="24"/>
          <w:szCs w:val="24"/>
          <w:lang w:val="en"/>
        </w:rPr>
      </w:pPr>
      <w:r w:rsidRPr="00DE7B6F">
        <w:rPr>
          <w:rFonts w:ascii="Tw Cen MT" w:hAnsi="Tw Cen MT"/>
          <w:b/>
          <w:sz w:val="24"/>
          <w:szCs w:val="24"/>
          <w:lang w:val="en"/>
        </w:rPr>
        <w:t xml:space="preserve">We believe that college preparation begins in </w:t>
      </w:r>
      <w:proofErr w:type="gramStart"/>
      <w:r w:rsidRPr="00DE7B6F">
        <w:rPr>
          <w:rFonts w:ascii="Tw Cen MT" w:hAnsi="Tw Cen MT"/>
          <w:b/>
          <w:sz w:val="24"/>
          <w:szCs w:val="24"/>
          <w:lang w:val="en"/>
        </w:rPr>
        <w:t>Kindergarten</w:t>
      </w:r>
      <w:proofErr w:type="gramEnd"/>
      <w:r w:rsidRPr="00DE7B6F">
        <w:rPr>
          <w:rFonts w:ascii="Tw Cen MT" w:hAnsi="Tw Cen MT"/>
          <w:b/>
          <w:sz w:val="24"/>
          <w:szCs w:val="24"/>
          <w:lang w:val="en"/>
        </w:rPr>
        <w:t>.</w:t>
      </w:r>
    </w:p>
    <w:p w14:paraId="63570E3F" w14:textId="77777777" w:rsidR="00DE7B6F" w:rsidRPr="00DE7B6F" w:rsidRDefault="00DE7B6F" w:rsidP="00DE7B6F">
      <w:pPr>
        <w:spacing w:after="0"/>
        <w:jc w:val="both"/>
        <w:rPr>
          <w:rFonts w:ascii="Tw Cen MT" w:hAnsi="Tw Cen MT"/>
          <w:bCs/>
          <w:sz w:val="24"/>
          <w:szCs w:val="24"/>
          <w:lang w:val="en"/>
        </w:rPr>
      </w:pPr>
    </w:p>
    <w:p w14:paraId="1DCA83F2" w14:textId="77777777" w:rsidR="00DE7B6F" w:rsidRPr="00DE7B6F" w:rsidRDefault="00DE7B6F" w:rsidP="001F1395">
      <w:pPr>
        <w:spacing w:after="0"/>
        <w:ind w:left="232"/>
        <w:jc w:val="both"/>
        <w:rPr>
          <w:rFonts w:ascii="Tw Cen MT" w:hAnsi="Tw Cen MT"/>
          <w:bCs/>
          <w:sz w:val="24"/>
          <w:szCs w:val="24"/>
          <w:lang w:val="en"/>
        </w:rPr>
      </w:pPr>
      <w:r w:rsidRPr="00DE7B6F">
        <w:rPr>
          <w:rFonts w:ascii="Tw Cen MT" w:hAnsi="Tw Cen MT"/>
          <w:bCs/>
          <w:sz w:val="24"/>
          <w:szCs w:val="24"/>
          <w:lang w:val="en"/>
        </w:rPr>
        <w:t xml:space="preserve">To ensure our scholars can reach ambitious goals and be firmly on the path to the four-year college of their choice, we believe that college preparation must begin on the first day of </w:t>
      </w:r>
      <w:proofErr w:type="gramStart"/>
      <w:r w:rsidRPr="00DE7B6F">
        <w:rPr>
          <w:rFonts w:ascii="Tw Cen MT" w:hAnsi="Tw Cen MT"/>
          <w:bCs/>
          <w:sz w:val="24"/>
          <w:szCs w:val="24"/>
          <w:lang w:val="en"/>
        </w:rPr>
        <w:t>Kindergarten</w:t>
      </w:r>
      <w:proofErr w:type="gramEnd"/>
      <w:r w:rsidRPr="00DE7B6F">
        <w:rPr>
          <w:rFonts w:ascii="Tw Cen MT" w:hAnsi="Tw Cen MT"/>
          <w:bCs/>
          <w:sz w:val="24"/>
          <w:szCs w:val="24"/>
          <w:lang w:val="en"/>
        </w:rPr>
        <w:t xml:space="preserve">.  This belief is embodied in our rigorous curriculum and extended day schedule.  We know that our scholars can perform at extremely high levels when surrounded by teachers who believe in them, support them, and are experts in their craft. </w:t>
      </w:r>
    </w:p>
    <w:p w14:paraId="7D349475" w14:textId="77777777" w:rsidR="00DE7B6F" w:rsidRPr="00DE7B6F" w:rsidRDefault="00DE7B6F" w:rsidP="00DE7B6F">
      <w:pPr>
        <w:spacing w:after="0"/>
        <w:jc w:val="both"/>
        <w:rPr>
          <w:rFonts w:ascii="Tw Cen MT" w:hAnsi="Tw Cen MT"/>
          <w:bCs/>
          <w:sz w:val="24"/>
          <w:szCs w:val="24"/>
          <w:lang w:val="en"/>
        </w:rPr>
      </w:pPr>
    </w:p>
    <w:p w14:paraId="65303986" w14:textId="77777777" w:rsidR="00DE7B6F" w:rsidRPr="00DE7B6F" w:rsidRDefault="00DE7B6F" w:rsidP="00DE7B6F">
      <w:pPr>
        <w:numPr>
          <w:ilvl w:val="0"/>
          <w:numId w:val="24"/>
        </w:numPr>
        <w:spacing w:after="0"/>
        <w:jc w:val="both"/>
        <w:rPr>
          <w:rFonts w:ascii="Tw Cen MT" w:hAnsi="Tw Cen MT"/>
          <w:b/>
          <w:sz w:val="24"/>
          <w:szCs w:val="24"/>
          <w:lang w:val="en"/>
        </w:rPr>
      </w:pPr>
      <w:r w:rsidRPr="00DE7B6F">
        <w:rPr>
          <w:rFonts w:ascii="Tw Cen MT" w:hAnsi="Tw Cen MT"/>
          <w:b/>
          <w:sz w:val="24"/>
          <w:szCs w:val="24"/>
          <w:lang w:val="en"/>
        </w:rPr>
        <w:t>We believe that a structured, supportive, and joyful school culture, with a focus on leadership development, is foundational.</w:t>
      </w:r>
    </w:p>
    <w:p w14:paraId="061BAE9D" w14:textId="77777777" w:rsidR="00DE7B6F" w:rsidRPr="00DE7B6F" w:rsidRDefault="00DE7B6F" w:rsidP="00DE7B6F">
      <w:pPr>
        <w:spacing w:after="0"/>
        <w:jc w:val="both"/>
        <w:rPr>
          <w:rFonts w:ascii="Tw Cen MT" w:hAnsi="Tw Cen MT"/>
          <w:bCs/>
          <w:sz w:val="24"/>
          <w:szCs w:val="24"/>
          <w:lang w:val="en"/>
        </w:rPr>
      </w:pPr>
    </w:p>
    <w:p w14:paraId="6F0663D8" w14:textId="77777777" w:rsidR="00DE7B6F" w:rsidRPr="00DE7B6F" w:rsidRDefault="00DE7B6F" w:rsidP="001F1395">
      <w:pPr>
        <w:spacing w:after="0"/>
        <w:ind w:left="232"/>
        <w:jc w:val="both"/>
        <w:rPr>
          <w:rFonts w:ascii="Tw Cen MT" w:hAnsi="Tw Cen MT"/>
          <w:bCs/>
          <w:sz w:val="24"/>
          <w:szCs w:val="24"/>
          <w:lang w:val="en"/>
        </w:rPr>
      </w:pPr>
      <w:r w:rsidRPr="00DE7B6F">
        <w:rPr>
          <w:rFonts w:ascii="Tw Cen MT" w:hAnsi="Tw Cen MT"/>
          <w:bCs/>
          <w:sz w:val="24"/>
          <w:szCs w:val="24"/>
          <w:lang w:val="en"/>
        </w:rPr>
        <w:t xml:space="preserve">Persistence Prep firmly believes that school culture is the foundation upon which all else rests. Scholars thrive in structure and can flourish within a consistent environment in which they know what to expect and what is expected of them. We use the Responsive Classroom philosophy to guide our interactions with scholars, from developing a classroom contract to learning self-regulation and advocacy to providing logical consequences and a chance to restore the community following a misbehavior. We work hard to attend to both the academic and social </w:t>
      </w:r>
      <w:r w:rsidRPr="00DE7B6F">
        <w:rPr>
          <w:rFonts w:ascii="Tw Cen MT" w:hAnsi="Tw Cen MT"/>
          <w:bCs/>
          <w:sz w:val="24"/>
          <w:szCs w:val="24"/>
          <w:lang w:val="en"/>
        </w:rPr>
        <w:lastRenderedPageBreak/>
        <w:t xml:space="preserve">emotional development of our scholars and take every opportunity to celebrate them as unique individuals. </w:t>
      </w:r>
    </w:p>
    <w:p w14:paraId="6331591E" w14:textId="77777777" w:rsidR="00DE7B6F" w:rsidRPr="00DE7B6F" w:rsidRDefault="00DE7B6F" w:rsidP="00DE7B6F">
      <w:pPr>
        <w:spacing w:after="0"/>
        <w:jc w:val="both"/>
        <w:rPr>
          <w:rFonts w:ascii="Tw Cen MT" w:hAnsi="Tw Cen MT"/>
          <w:bCs/>
          <w:sz w:val="24"/>
          <w:szCs w:val="24"/>
          <w:lang w:val="en"/>
        </w:rPr>
      </w:pPr>
    </w:p>
    <w:p w14:paraId="7734B347" w14:textId="77777777" w:rsidR="00DE7B6F" w:rsidRPr="00DE7B6F" w:rsidRDefault="00DE7B6F" w:rsidP="00DE7B6F">
      <w:pPr>
        <w:numPr>
          <w:ilvl w:val="0"/>
          <w:numId w:val="24"/>
        </w:numPr>
        <w:spacing w:after="0"/>
        <w:jc w:val="both"/>
        <w:rPr>
          <w:rFonts w:ascii="Tw Cen MT" w:hAnsi="Tw Cen MT"/>
          <w:b/>
          <w:sz w:val="24"/>
          <w:szCs w:val="24"/>
          <w:lang w:val="en"/>
        </w:rPr>
      </w:pPr>
      <w:r w:rsidRPr="00DE7B6F">
        <w:rPr>
          <w:rFonts w:ascii="Tw Cen MT" w:hAnsi="Tw Cen MT"/>
          <w:b/>
          <w:sz w:val="24"/>
          <w:szCs w:val="24"/>
          <w:lang w:val="en"/>
        </w:rPr>
        <w:t>We believe in proactive supports for all learners based upon the purposeful use of assessment and data analysis.</w:t>
      </w:r>
    </w:p>
    <w:p w14:paraId="3BCEB3C3" w14:textId="77777777" w:rsidR="00DE7B6F" w:rsidRPr="00DE7B6F" w:rsidRDefault="00DE7B6F" w:rsidP="00DE7B6F">
      <w:pPr>
        <w:spacing w:after="0"/>
        <w:jc w:val="both"/>
        <w:rPr>
          <w:rFonts w:ascii="Tw Cen MT" w:hAnsi="Tw Cen MT"/>
          <w:bCs/>
          <w:sz w:val="24"/>
          <w:szCs w:val="24"/>
          <w:lang w:val="en"/>
        </w:rPr>
      </w:pPr>
    </w:p>
    <w:p w14:paraId="03D31B2E" w14:textId="77777777" w:rsidR="00DE7B6F" w:rsidRPr="00DE7B6F" w:rsidRDefault="00DE7B6F" w:rsidP="001F1395">
      <w:pPr>
        <w:spacing w:after="0"/>
        <w:ind w:left="232"/>
        <w:jc w:val="both"/>
        <w:rPr>
          <w:rFonts w:ascii="Tw Cen MT" w:hAnsi="Tw Cen MT"/>
          <w:bCs/>
          <w:sz w:val="24"/>
          <w:szCs w:val="24"/>
          <w:lang w:val="en"/>
        </w:rPr>
      </w:pPr>
      <w:proofErr w:type="gramStart"/>
      <w:r w:rsidRPr="00DE7B6F">
        <w:rPr>
          <w:rFonts w:ascii="Tw Cen MT" w:hAnsi="Tw Cen MT"/>
          <w:bCs/>
          <w:sz w:val="24"/>
          <w:szCs w:val="24"/>
          <w:lang w:val="en"/>
        </w:rPr>
        <w:t>In order to</w:t>
      </w:r>
      <w:proofErr w:type="gramEnd"/>
      <w:r w:rsidRPr="00DE7B6F">
        <w:rPr>
          <w:rFonts w:ascii="Tw Cen MT" w:hAnsi="Tw Cen MT"/>
          <w:bCs/>
          <w:sz w:val="24"/>
          <w:szCs w:val="24"/>
          <w:lang w:val="en"/>
        </w:rPr>
        <w:t xml:space="preserve"> best educate our scholars, it is imperative that teachers have a constant pulse on what scholars have, and have not yet, mastered. Our Instructional Coaches work closely with our teachers to ensure they are regularly collecting and analyzing data to inform their instruction. Our benchmark assessments are analyzed at schoolwide data days and teachers develop action plans to address gaps, enrich scholars and reflect on their own teaching practices.  We have a strong literacy </w:t>
      </w:r>
      <w:proofErr w:type="spellStart"/>
      <w:r w:rsidRPr="00DE7B6F">
        <w:rPr>
          <w:rFonts w:ascii="Tw Cen MT" w:hAnsi="Tw Cen MT"/>
          <w:bCs/>
          <w:sz w:val="24"/>
          <w:szCs w:val="24"/>
          <w:lang w:val="en"/>
        </w:rPr>
        <w:t>RtI</w:t>
      </w:r>
      <w:proofErr w:type="spellEnd"/>
      <w:r w:rsidRPr="00DE7B6F">
        <w:rPr>
          <w:rFonts w:ascii="Tw Cen MT" w:hAnsi="Tw Cen MT"/>
          <w:bCs/>
          <w:sz w:val="24"/>
          <w:szCs w:val="24"/>
          <w:lang w:val="en"/>
        </w:rPr>
        <w:t xml:space="preserve"> program and will be continuing to grow and expand our </w:t>
      </w:r>
      <w:proofErr w:type="gramStart"/>
      <w:r w:rsidRPr="00DE7B6F">
        <w:rPr>
          <w:rFonts w:ascii="Tw Cen MT" w:hAnsi="Tw Cen MT"/>
          <w:bCs/>
          <w:sz w:val="24"/>
          <w:szCs w:val="24"/>
          <w:lang w:val="en"/>
        </w:rPr>
        <w:t>Math</w:t>
      </w:r>
      <w:proofErr w:type="gramEnd"/>
      <w:r w:rsidRPr="00DE7B6F">
        <w:rPr>
          <w:rFonts w:ascii="Tw Cen MT" w:hAnsi="Tw Cen MT"/>
          <w:bCs/>
          <w:sz w:val="24"/>
          <w:szCs w:val="24"/>
          <w:lang w:val="en"/>
        </w:rPr>
        <w:t xml:space="preserve"> </w:t>
      </w:r>
      <w:proofErr w:type="spellStart"/>
      <w:r w:rsidRPr="00DE7B6F">
        <w:rPr>
          <w:rFonts w:ascii="Tw Cen MT" w:hAnsi="Tw Cen MT"/>
          <w:bCs/>
          <w:sz w:val="24"/>
          <w:szCs w:val="24"/>
          <w:lang w:val="en"/>
        </w:rPr>
        <w:t>RtI</w:t>
      </w:r>
      <w:proofErr w:type="spellEnd"/>
      <w:r w:rsidRPr="00DE7B6F">
        <w:rPr>
          <w:rFonts w:ascii="Tw Cen MT" w:hAnsi="Tw Cen MT"/>
          <w:bCs/>
          <w:sz w:val="24"/>
          <w:szCs w:val="24"/>
          <w:lang w:val="en"/>
        </w:rPr>
        <w:t xml:space="preserve"> program in the coming school year. </w:t>
      </w:r>
    </w:p>
    <w:p w14:paraId="54C6774C" w14:textId="77777777" w:rsidR="00DE7B6F" w:rsidRPr="00DE7B6F" w:rsidRDefault="00DE7B6F" w:rsidP="00DE7B6F">
      <w:pPr>
        <w:spacing w:after="0"/>
        <w:jc w:val="both"/>
        <w:rPr>
          <w:rFonts w:ascii="Tw Cen MT" w:hAnsi="Tw Cen MT"/>
          <w:bCs/>
          <w:sz w:val="24"/>
          <w:szCs w:val="24"/>
          <w:lang w:val="en"/>
        </w:rPr>
      </w:pPr>
    </w:p>
    <w:p w14:paraId="5CDB724E" w14:textId="77777777" w:rsidR="00DE7B6F" w:rsidRPr="00DE7B6F" w:rsidRDefault="00DE7B6F" w:rsidP="00DE7B6F">
      <w:pPr>
        <w:numPr>
          <w:ilvl w:val="0"/>
          <w:numId w:val="24"/>
        </w:numPr>
        <w:spacing w:after="0"/>
        <w:jc w:val="both"/>
        <w:rPr>
          <w:rFonts w:ascii="Tw Cen MT" w:hAnsi="Tw Cen MT"/>
          <w:b/>
          <w:sz w:val="24"/>
          <w:szCs w:val="24"/>
          <w:lang w:val="en"/>
        </w:rPr>
      </w:pPr>
      <w:r w:rsidRPr="00DE7B6F">
        <w:rPr>
          <w:rFonts w:ascii="Tw Cen MT" w:hAnsi="Tw Cen MT"/>
          <w:b/>
          <w:sz w:val="24"/>
          <w:szCs w:val="24"/>
          <w:lang w:val="en"/>
        </w:rPr>
        <w:t>We believe that family engagement is vital to scholar achievement.</w:t>
      </w:r>
    </w:p>
    <w:p w14:paraId="69BCF00D" w14:textId="77777777" w:rsidR="00DE7B6F" w:rsidRPr="00DE7B6F" w:rsidRDefault="00DE7B6F" w:rsidP="00DE7B6F">
      <w:pPr>
        <w:spacing w:after="0"/>
        <w:jc w:val="both"/>
        <w:rPr>
          <w:rFonts w:ascii="Tw Cen MT" w:hAnsi="Tw Cen MT"/>
          <w:bCs/>
          <w:sz w:val="24"/>
          <w:szCs w:val="24"/>
          <w:lang w:val="en"/>
        </w:rPr>
      </w:pPr>
    </w:p>
    <w:p w14:paraId="10521B23" w14:textId="77777777" w:rsidR="00DE7B6F" w:rsidRPr="00DE7B6F" w:rsidRDefault="00DE7B6F" w:rsidP="001F1395">
      <w:pPr>
        <w:spacing w:after="0"/>
        <w:ind w:left="232"/>
        <w:jc w:val="both"/>
        <w:rPr>
          <w:rFonts w:ascii="Tw Cen MT" w:hAnsi="Tw Cen MT"/>
          <w:bCs/>
          <w:sz w:val="24"/>
          <w:szCs w:val="24"/>
          <w:lang w:val="en"/>
        </w:rPr>
      </w:pPr>
      <w:r w:rsidRPr="00DE7B6F">
        <w:rPr>
          <w:rFonts w:ascii="Tw Cen MT" w:hAnsi="Tw Cen MT"/>
          <w:bCs/>
          <w:sz w:val="24"/>
          <w:szCs w:val="24"/>
          <w:lang w:val="en"/>
        </w:rPr>
        <w:t xml:space="preserve">Persistence Prep acknowledges and welcomes families as key partners in ensuring the academic and character growth of every scholar. Over our first four years, we have built very strong relationships with our families through monthly events, achievement family conferences, check-ins throughout COVID, coffee chats, parent volunteer nights, and regular communication.  Now that we are beyond the height of COVID, we will officially launch our Parent Teacher Organization and begin to leverage families as volunteers throughout our building and at events. Our new building also features a parent room for meetings and collaboration. </w:t>
      </w:r>
    </w:p>
    <w:p w14:paraId="38E7BD38" w14:textId="77777777" w:rsidR="00DE7B6F" w:rsidRPr="00DE7B6F" w:rsidRDefault="00DE7B6F" w:rsidP="00DE7B6F">
      <w:pPr>
        <w:spacing w:after="0"/>
        <w:jc w:val="both"/>
        <w:rPr>
          <w:rFonts w:ascii="Tw Cen MT" w:hAnsi="Tw Cen MT"/>
          <w:b/>
          <w:sz w:val="24"/>
          <w:szCs w:val="24"/>
          <w:lang w:val="en"/>
        </w:rPr>
      </w:pPr>
    </w:p>
    <w:p w14:paraId="23EEC4A9" w14:textId="77777777" w:rsidR="003E2FB3" w:rsidRPr="000E063D" w:rsidRDefault="003E2FB3" w:rsidP="003E2FB3">
      <w:pPr>
        <w:spacing w:after="0"/>
        <w:jc w:val="both"/>
        <w:rPr>
          <w:rFonts w:ascii="Tw Cen MT" w:hAnsi="Tw Cen MT"/>
        </w:rPr>
      </w:pPr>
    </w:p>
    <w:p w14:paraId="19FB45D0" w14:textId="4B733824" w:rsidR="003E2FB3" w:rsidRPr="000E063D" w:rsidRDefault="003E2FB3" w:rsidP="003E2FB3">
      <w:pPr>
        <w:spacing w:after="0"/>
        <w:jc w:val="both"/>
        <w:rPr>
          <w:rFonts w:ascii="Tw Cen MT" w:hAnsi="Tw Cen MT"/>
        </w:rPr>
      </w:pPr>
      <w:r w:rsidRPr="008D0091">
        <w:rPr>
          <w:rFonts w:ascii="Tw Cen MT" w:hAnsi="Tw Cen MT"/>
        </w:rPr>
        <w:t>In 202</w:t>
      </w:r>
      <w:r w:rsidR="00DE7B6F" w:rsidRPr="008D0091">
        <w:rPr>
          <w:rFonts w:ascii="Tw Cen MT" w:hAnsi="Tw Cen MT"/>
        </w:rPr>
        <w:t>1</w:t>
      </w:r>
      <w:r w:rsidRPr="008D0091">
        <w:rPr>
          <w:rFonts w:ascii="Tw Cen MT" w:hAnsi="Tw Cen MT"/>
        </w:rPr>
        <w:t>-202</w:t>
      </w:r>
      <w:r w:rsidR="00DE7B6F" w:rsidRPr="008D0091">
        <w:rPr>
          <w:rFonts w:ascii="Tw Cen MT" w:hAnsi="Tw Cen MT"/>
        </w:rPr>
        <w:t>2</w:t>
      </w:r>
      <w:r w:rsidRPr="008D0091">
        <w:rPr>
          <w:rFonts w:ascii="Tw Cen MT" w:hAnsi="Tw Cen MT"/>
        </w:rPr>
        <w:t xml:space="preserve"> we educated 2</w:t>
      </w:r>
      <w:r w:rsidR="00DE7B6F" w:rsidRPr="008D0091">
        <w:rPr>
          <w:rFonts w:ascii="Tw Cen MT" w:hAnsi="Tw Cen MT"/>
        </w:rPr>
        <w:t>71</w:t>
      </w:r>
      <w:r w:rsidRPr="008D0091">
        <w:rPr>
          <w:rFonts w:ascii="Tw Cen MT" w:hAnsi="Tw Cen MT"/>
        </w:rPr>
        <w:t xml:space="preserve"> scholars, who came to us from </w:t>
      </w:r>
      <w:proofErr w:type="gramStart"/>
      <w:r w:rsidRPr="008D0091">
        <w:rPr>
          <w:rFonts w:ascii="Tw Cen MT" w:hAnsi="Tw Cen MT"/>
        </w:rPr>
        <w:t>all across</w:t>
      </w:r>
      <w:proofErr w:type="gramEnd"/>
      <w:r w:rsidRPr="008D0091">
        <w:rPr>
          <w:rFonts w:ascii="Tw Cen MT" w:hAnsi="Tw Cen MT"/>
        </w:rPr>
        <w:t xml:space="preserve"> the City of Buffalo.  The demographics of our student population were 90% African American, 3% Hispanic, 6% Multiracial, and 1% white.  94% of our scholars are economically disadvantaged and 1</w:t>
      </w:r>
      <w:r w:rsidR="00020185" w:rsidRPr="008D0091">
        <w:rPr>
          <w:rFonts w:ascii="Tw Cen MT" w:hAnsi="Tw Cen MT"/>
        </w:rPr>
        <w:t>1</w:t>
      </w:r>
      <w:r w:rsidRPr="008D0091">
        <w:rPr>
          <w:rFonts w:ascii="Tw Cen MT" w:hAnsi="Tw Cen MT"/>
        </w:rPr>
        <w:t xml:space="preserve">% of them receive Special Education services.  We </w:t>
      </w:r>
      <w:r w:rsidR="008D0091" w:rsidRPr="008D0091">
        <w:rPr>
          <w:rFonts w:ascii="Tw Cen MT" w:hAnsi="Tw Cen MT"/>
        </w:rPr>
        <w:t xml:space="preserve">also </w:t>
      </w:r>
      <w:r w:rsidRPr="008D0091">
        <w:rPr>
          <w:rFonts w:ascii="Tw Cen MT" w:hAnsi="Tw Cen MT"/>
        </w:rPr>
        <w:t>filled open seats throughout the year</w:t>
      </w:r>
      <w:r w:rsidR="008D0091">
        <w:rPr>
          <w:rFonts w:ascii="Tw Cen MT" w:hAnsi="Tw Cen MT"/>
        </w:rPr>
        <w:t xml:space="preserve"> across all grade levels.</w:t>
      </w:r>
    </w:p>
    <w:p w14:paraId="57B1FBCD" w14:textId="77777777" w:rsidR="003E2FB3" w:rsidRPr="000E063D" w:rsidRDefault="003E2FB3" w:rsidP="003E2FB3">
      <w:pPr>
        <w:spacing w:after="0"/>
        <w:jc w:val="both"/>
        <w:rPr>
          <w:rFonts w:ascii="Tw Cen MT" w:hAnsi="Tw Cen MT"/>
        </w:rPr>
      </w:pPr>
    </w:p>
    <w:p w14:paraId="6215CD00" w14:textId="2A70FEDE" w:rsidR="003E2FB3" w:rsidRPr="000E063D" w:rsidRDefault="003E2FB3" w:rsidP="003E2FB3">
      <w:pPr>
        <w:spacing w:after="0"/>
        <w:jc w:val="both"/>
        <w:rPr>
          <w:rFonts w:ascii="Tw Cen MT" w:hAnsi="Tw Cen MT"/>
        </w:rPr>
      </w:pPr>
      <w:r w:rsidRPr="000E063D">
        <w:rPr>
          <w:rFonts w:ascii="Tw Cen MT" w:hAnsi="Tw Cen MT"/>
        </w:rPr>
        <w:t xml:space="preserve">In the face of the challenges of the COVID-19 pandemic, our team developed a reentry plan that prioritized scholar &amp; staff safety, proactive containment, social-emotional well-being, access for all, and flexibility.  We had extensive communication with our staff and families prior to the start of the school year, including a re-opening task force comprised of stakeholders from all major groups (leadership, teachers, board members, parents).  </w:t>
      </w:r>
      <w:r w:rsidR="00507A13" w:rsidRPr="000E063D">
        <w:rPr>
          <w:rFonts w:ascii="Tw Cen MT" w:hAnsi="Tw Cen MT"/>
        </w:rPr>
        <w:t xml:space="preserve">We operated under a fully in-person model throughout the year, with groups of scholars or full classrooms being placed into quarantine, as needed.  Over the course of the year, we had </w:t>
      </w:r>
      <w:r w:rsidR="001F1395" w:rsidRPr="000E063D">
        <w:rPr>
          <w:rFonts w:ascii="Tw Cen MT" w:hAnsi="Tw Cen MT"/>
        </w:rPr>
        <w:t>5 classrooms that shifted to fully virtual</w:t>
      </w:r>
      <w:r w:rsidR="00E7389A">
        <w:rPr>
          <w:rFonts w:ascii="Tw Cen MT" w:hAnsi="Tw Cen MT"/>
        </w:rPr>
        <w:t xml:space="preserve"> learning</w:t>
      </w:r>
      <w:r w:rsidR="001F1395" w:rsidRPr="000E063D">
        <w:rPr>
          <w:rFonts w:ascii="Tw Cen MT" w:hAnsi="Tw Cen MT"/>
        </w:rPr>
        <w:t xml:space="preserve"> for </w:t>
      </w:r>
      <w:proofErr w:type="gramStart"/>
      <w:r w:rsidR="001F1395" w:rsidRPr="000E063D">
        <w:rPr>
          <w:rFonts w:ascii="Tw Cen MT" w:hAnsi="Tw Cen MT"/>
        </w:rPr>
        <w:t>a period of time</w:t>
      </w:r>
      <w:proofErr w:type="gramEnd"/>
      <w:r w:rsidR="001F1395" w:rsidRPr="000E063D">
        <w:rPr>
          <w:rFonts w:ascii="Tw Cen MT" w:hAnsi="Tw Cen MT"/>
        </w:rPr>
        <w:t xml:space="preserve"> due to multiple positive cases within the classroom.  During those periods of quarantine, all scholars were provided with Chromebooks and work, and teachers provided live instruction via Zoom. </w:t>
      </w:r>
    </w:p>
    <w:p w14:paraId="7966578E" w14:textId="77777777" w:rsidR="003E2FB3" w:rsidRPr="000E063D" w:rsidRDefault="003E2FB3" w:rsidP="003E2FB3">
      <w:pPr>
        <w:spacing w:after="0"/>
        <w:jc w:val="both"/>
        <w:rPr>
          <w:rFonts w:ascii="Tw Cen MT" w:hAnsi="Tw Cen MT"/>
        </w:rPr>
      </w:pPr>
    </w:p>
    <w:p w14:paraId="5295ED5A" w14:textId="7A8A9231" w:rsidR="00A51993" w:rsidRPr="000E063D" w:rsidRDefault="00A51993" w:rsidP="00A51993">
      <w:pPr>
        <w:jc w:val="both"/>
        <w:rPr>
          <w:rFonts w:ascii="Tw Cen MT" w:hAnsi="Tw Cen MT"/>
          <w:color w:val="222222"/>
        </w:rPr>
      </w:pPr>
      <w:r w:rsidRPr="000E063D">
        <w:rPr>
          <w:rFonts w:ascii="Tw Cen MT" w:hAnsi="Tw Cen MT"/>
          <w:color w:val="222222"/>
        </w:rPr>
        <w:t xml:space="preserve">In recognition of the unfinished learning that resulted from the COVID-19 pandemic, all staff received training on just-in time supports and learning acceleration during Summer 2021.  Our rallying cry for the year was “Elevate and Accelerate,” with a focus on accelerating learning and maximizing all scholars’ access to high-quality, grade level instruction and assignments. </w:t>
      </w:r>
    </w:p>
    <w:p w14:paraId="5CBF67AA" w14:textId="77777777" w:rsidR="00A51993" w:rsidRPr="000E063D" w:rsidRDefault="00A51993" w:rsidP="00A51993">
      <w:pPr>
        <w:jc w:val="both"/>
        <w:rPr>
          <w:rFonts w:ascii="Tw Cen MT" w:hAnsi="Tw Cen MT"/>
          <w:color w:val="222222"/>
        </w:rPr>
      </w:pPr>
      <w:r w:rsidRPr="000E063D">
        <w:rPr>
          <w:rFonts w:ascii="Tw Cen MT" w:hAnsi="Tw Cen MT"/>
          <w:color w:val="222222"/>
        </w:rPr>
        <w:t xml:space="preserve">Beginning in Fall of 2021, all scholars began participating in a </w:t>
      </w:r>
      <w:r w:rsidRPr="00E7389A">
        <w:rPr>
          <w:rFonts w:ascii="Tw Cen MT" w:hAnsi="Tw Cen MT"/>
          <w:bCs/>
          <w:color w:val="222222"/>
        </w:rPr>
        <w:t>daily acceleration block.</w:t>
      </w:r>
      <w:r w:rsidRPr="000E063D">
        <w:rPr>
          <w:rFonts w:ascii="Tw Cen MT" w:hAnsi="Tw Cen MT"/>
          <w:color w:val="222222"/>
        </w:rPr>
        <w:t xml:space="preserve">  This time was common for all classes grades K-2 and all classes grades 3-4.  During this time, ALL teachers and available staff members became an acceleration teacher and led groups focused on exactly what scholars needed (i.e., just-in-time support, enrichment, etc.).  Scholars were able to move fluidly across classrooms/grade levels within their band based on their demonstrated needs.  Based on DIBELS assessment data, many scholars also received the </w:t>
      </w:r>
      <w:proofErr w:type="spellStart"/>
      <w:r w:rsidRPr="000E063D">
        <w:rPr>
          <w:rFonts w:ascii="Tw Cen MT" w:hAnsi="Tw Cen MT"/>
          <w:color w:val="222222"/>
        </w:rPr>
        <w:t>mClass</w:t>
      </w:r>
      <w:proofErr w:type="spellEnd"/>
      <w:r w:rsidRPr="000E063D">
        <w:rPr>
          <w:rFonts w:ascii="Tw Cen MT" w:hAnsi="Tw Cen MT"/>
          <w:color w:val="222222"/>
        </w:rPr>
        <w:t xml:space="preserve"> intervention bursts previously mentioned during </w:t>
      </w:r>
      <w:r w:rsidRPr="000E063D">
        <w:rPr>
          <w:rFonts w:ascii="Tw Cen MT" w:hAnsi="Tw Cen MT"/>
          <w:color w:val="222222"/>
        </w:rPr>
        <w:lastRenderedPageBreak/>
        <w:t xml:space="preserve">this time.  When not directly working with a teacher, scholars were engaged in purposeful independent work.  This independent work included, but was not limited to: Lexia, </w:t>
      </w:r>
      <w:proofErr w:type="spellStart"/>
      <w:r w:rsidRPr="000E063D">
        <w:rPr>
          <w:rFonts w:ascii="Tw Cen MT" w:hAnsi="Tw Cen MT"/>
          <w:color w:val="222222"/>
        </w:rPr>
        <w:t>Zearn</w:t>
      </w:r>
      <w:proofErr w:type="spellEnd"/>
      <w:r w:rsidRPr="000E063D">
        <w:rPr>
          <w:rFonts w:ascii="Tw Cen MT" w:hAnsi="Tw Cen MT"/>
          <w:color w:val="222222"/>
        </w:rPr>
        <w:t xml:space="preserve">, independent reading, partner reading, targeted skills practice (with feedback mechanism incorporated). With our goal of prioritizing access to grade level content and materials, this time is explicitly leveraged to provide </w:t>
      </w:r>
      <w:r w:rsidRPr="00E7389A">
        <w:rPr>
          <w:rFonts w:ascii="Tw Cen MT" w:hAnsi="Tw Cen MT"/>
          <w:bCs/>
          <w:color w:val="222222"/>
        </w:rPr>
        <w:t>“just-in-time” interventions</w:t>
      </w:r>
      <w:r w:rsidRPr="000E063D">
        <w:rPr>
          <w:rFonts w:ascii="Tw Cen MT" w:hAnsi="Tw Cen MT"/>
          <w:color w:val="222222"/>
        </w:rPr>
        <w:t xml:space="preserve"> that will allow scholars to access their core content and/or be enriched.  This block will continue in the year ahead with an even greater emphasis on fluid movement across classrooms and grade levels to best meet scholar needs. </w:t>
      </w:r>
    </w:p>
    <w:p w14:paraId="35F8DA06" w14:textId="77777777" w:rsidR="00A51993" w:rsidRPr="000E063D" w:rsidRDefault="00A51993" w:rsidP="00A51993">
      <w:pPr>
        <w:jc w:val="both"/>
        <w:rPr>
          <w:rFonts w:ascii="Tw Cen MT" w:hAnsi="Tw Cen MT"/>
          <w:color w:val="222222"/>
        </w:rPr>
      </w:pPr>
    </w:p>
    <w:p w14:paraId="44795085" w14:textId="3BC58D48" w:rsidR="00040272" w:rsidRPr="000E063D" w:rsidRDefault="00A51993" w:rsidP="00507A13">
      <w:pPr>
        <w:jc w:val="both"/>
        <w:rPr>
          <w:rFonts w:ascii="Tw Cen MT" w:hAnsi="Tw Cen MT"/>
          <w:color w:val="222222"/>
        </w:rPr>
      </w:pPr>
      <w:r w:rsidRPr="000E063D">
        <w:rPr>
          <w:rFonts w:ascii="Tw Cen MT" w:hAnsi="Tw Cen MT"/>
          <w:color w:val="222222"/>
        </w:rPr>
        <w:t xml:space="preserve">In the absence of reliable state test </w:t>
      </w:r>
      <w:proofErr w:type="gramStart"/>
      <w:r w:rsidRPr="000E063D">
        <w:rPr>
          <w:rFonts w:ascii="Tw Cen MT" w:hAnsi="Tw Cen MT"/>
          <w:color w:val="222222"/>
        </w:rPr>
        <w:t>scores, and</w:t>
      </w:r>
      <w:proofErr w:type="gramEnd"/>
      <w:r w:rsidRPr="000E063D">
        <w:rPr>
          <w:rFonts w:ascii="Tw Cen MT" w:hAnsi="Tw Cen MT"/>
          <w:color w:val="222222"/>
        </w:rPr>
        <w:t xml:space="preserve"> given that more than half of our scholars are in grades K-2, we have leveraged the </w:t>
      </w:r>
      <w:r w:rsidRPr="00E7389A">
        <w:rPr>
          <w:rFonts w:ascii="Tw Cen MT" w:hAnsi="Tw Cen MT"/>
          <w:bCs/>
          <w:color w:val="222222"/>
        </w:rPr>
        <w:t>DIBELS and NWEA MAP assessments</w:t>
      </w:r>
      <w:r w:rsidRPr="000E063D">
        <w:rPr>
          <w:rFonts w:ascii="Tw Cen MT" w:hAnsi="Tw Cen MT"/>
          <w:color w:val="222222"/>
        </w:rPr>
        <w:t xml:space="preserve"> more heavily since our return from COVID to assess the effectiveness of our instructional program.  The addition of the use of DIBELS and its corresponding </w:t>
      </w:r>
      <w:proofErr w:type="spellStart"/>
      <w:r w:rsidRPr="000E063D">
        <w:rPr>
          <w:rFonts w:ascii="Tw Cen MT" w:hAnsi="Tw Cen MT"/>
          <w:color w:val="222222"/>
        </w:rPr>
        <w:t>mClass</w:t>
      </w:r>
      <w:proofErr w:type="spellEnd"/>
      <w:r w:rsidRPr="000E063D">
        <w:rPr>
          <w:rFonts w:ascii="Tw Cen MT" w:hAnsi="Tw Cen MT"/>
          <w:color w:val="222222"/>
        </w:rPr>
        <w:t xml:space="preserve"> Intervention instruction and progress monitoring allowed us to pinpoint specific scholar gaps and provided staff with targeted lesson plans to quickly close them. </w:t>
      </w:r>
      <w:r w:rsidR="00AB0FB9" w:rsidRPr="000E063D">
        <w:rPr>
          <w:rFonts w:ascii="Tw Cen MT" w:hAnsi="Tw Cen MT"/>
          <w:color w:val="222222"/>
        </w:rPr>
        <w:t xml:space="preserve">While </w:t>
      </w:r>
      <w:r w:rsidRPr="000E063D">
        <w:rPr>
          <w:rFonts w:ascii="Tw Cen MT" w:hAnsi="Tw Cen MT"/>
          <w:color w:val="222222"/>
        </w:rPr>
        <w:t>we were able to see strong growth in our scholars</w:t>
      </w:r>
      <w:r w:rsidR="00AB0FB9" w:rsidRPr="000E063D">
        <w:rPr>
          <w:rFonts w:ascii="Tw Cen MT" w:hAnsi="Tw Cen MT"/>
          <w:color w:val="222222"/>
        </w:rPr>
        <w:t>, we</w:t>
      </w:r>
      <w:r w:rsidRPr="000E063D">
        <w:rPr>
          <w:rFonts w:ascii="Tw Cen MT" w:hAnsi="Tw Cen MT"/>
          <w:color w:val="222222"/>
        </w:rPr>
        <w:t xml:space="preserve"> recognize that the process of guiding scholars through the unfinished learning of COVID will be a multi-year process. </w:t>
      </w:r>
    </w:p>
    <w:p w14:paraId="6F3B0400" w14:textId="07E3F228" w:rsidR="00AB0FB9" w:rsidRDefault="00AB0FB9" w:rsidP="00AB0FB9">
      <w:pPr>
        <w:spacing w:before="240"/>
        <w:jc w:val="both"/>
        <w:rPr>
          <w:rFonts w:ascii="Tw Cen MT" w:hAnsi="Tw Cen MT"/>
          <w:color w:val="222222"/>
        </w:rPr>
      </w:pPr>
      <w:r w:rsidRPr="000E063D">
        <w:rPr>
          <w:rFonts w:ascii="Tw Cen MT" w:hAnsi="Tw Cen MT"/>
          <w:color w:val="222222"/>
        </w:rPr>
        <w:t xml:space="preserve">We also recognized that a return from COVID-19 would likely increase the social-emotional needs of our scholars. To most immediately address these needs, we purchased the </w:t>
      </w:r>
      <w:r w:rsidRPr="001D1E8B">
        <w:rPr>
          <w:rFonts w:ascii="Tw Cen MT" w:hAnsi="Tw Cen MT"/>
          <w:bCs/>
          <w:color w:val="222222"/>
        </w:rPr>
        <w:t>Fly Five SEL curriculum</w:t>
      </w:r>
      <w:r w:rsidRPr="000E063D">
        <w:rPr>
          <w:rFonts w:ascii="Tw Cen MT" w:hAnsi="Tw Cen MT"/>
          <w:color w:val="222222"/>
        </w:rPr>
        <w:t xml:space="preserve"> through the Center for Responsive Schools.  This curriculum, focused on the CARES competencies of cooperation, assertiveness, responsibility, empathy, and self-control, was taught by our school counselors across all classrooms K-4 and will continue to be used</w:t>
      </w:r>
      <w:r w:rsidR="001D1E8B">
        <w:rPr>
          <w:rFonts w:ascii="Tw Cen MT" w:hAnsi="Tw Cen MT"/>
          <w:color w:val="222222"/>
        </w:rPr>
        <w:t xml:space="preserve"> in future years. </w:t>
      </w:r>
      <w:r w:rsidR="00CD3628">
        <w:rPr>
          <w:rFonts w:ascii="Tw Cen MT" w:hAnsi="Tw Cen MT"/>
          <w:color w:val="222222"/>
        </w:rPr>
        <w:t xml:space="preserve"> </w:t>
      </w:r>
    </w:p>
    <w:p w14:paraId="4ECD9184" w14:textId="5DC1C153" w:rsidR="00CD3628" w:rsidRPr="000E063D" w:rsidRDefault="00CD3628" w:rsidP="00AB0FB9">
      <w:pPr>
        <w:spacing w:before="240"/>
        <w:jc w:val="both"/>
        <w:rPr>
          <w:rFonts w:ascii="Tw Cen MT" w:hAnsi="Tw Cen MT"/>
          <w:color w:val="222222"/>
        </w:rPr>
      </w:pPr>
      <w:r>
        <w:rPr>
          <w:rFonts w:ascii="Tw Cen MT" w:hAnsi="Tw Cen MT"/>
          <w:color w:val="222222"/>
        </w:rPr>
        <w:t xml:space="preserve">Our community suffered significantly in May of 2022 due to the mass shooting and hate crime at Tops Market.  Our school is located a few blocks from the store, and we had </w:t>
      </w:r>
      <w:proofErr w:type="gramStart"/>
      <w:r>
        <w:rPr>
          <w:rFonts w:ascii="Tw Cen MT" w:hAnsi="Tw Cen MT"/>
          <w:color w:val="222222"/>
        </w:rPr>
        <w:t>a number of</w:t>
      </w:r>
      <w:proofErr w:type="gramEnd"/>
      <w:r>
        <w:rPr>
          <w:rFonts w:ascii="Tw Cen MT" w:hAnsi="Tw Cen MT"/>
          <w:color w:val="222222"/>
        </w:rPr>
        <w:t xml:space="preserve"> staff and scholars who were directly impacted</w:t>
      </w:r>
      <w:r w:rsidR="00BD264C">
        <w:rPr>
          <w:rFonts w:ascii="Tw Cen MT" w:hAnsi="Tw Cen MT"/>
          <w:color w:val="222222"/>
        </w:rPr>
        <w:t xml:space="preserve">.  In response to this event, we hosted reflections and affinity groups for staff members, conducted developmentally appropriate SEL screeners with scholars, and hosted safety forums for families.  </w:t>
      </w:r>
      <w:r w:rsidR="00FF6E2A">
        <w:rPr>
          <w:rFonts w:ascii="Tw Cen MT" w:hAnsi="Tw Cen MT"/>
          <w:color w:val="222222"/>
        </w:rPr>
        <w:t xml:space="preserve">We recognize that it will take immense time to heal from this atrocious act of hate and continue to offer trauma-informed practices and supports to scholars and </w:t>
      </w:r>
      <w:proofErr w:type="gramStart"/>
      <w:r w:rsidR="00FF6E2A">
        <w:rPr>
          <w:rFonts w:ascii="Tw Cen MT" w:hAnsi="Tw Cen MT"/>
          <w:color w:val="222222"/>
        </w:rPr>
        <w:t>staff, and</w:t>
      </w:r>
      <w:proofErr w:type="gramEnd"/>
      <w:r w:rsidR="00FF6E2A">
        <w:rPr>
          <w:rFonts w:ascii="Tw Cen MT" w:hAnsi="Tw Cen MT"/>
          <w:color w:val="222222"/>
        </w:rPr>
        <w:t xml:space="preserve"> connect those in our community to resources throughout the larger Buffalo community. </w:t>
      </w:r>
    </w:p>
    <w:p w14:paraId="6EA29BAC" w14:textId="77777777" w:rsidR="00AB0FB9" w:rsidRPr="000E063D" w:rsidRDefault="00AB0FB9" w:rsidP="52172790">
      <w:pPr>
        <w:rPr>
          <w:rFonts w:ascii="Tw Cen MT" w:hAnsi="Tw Cen MT"/>
        </w:rPr>
      </w:pPr>
    </w:p>
    <w:p w14:paraId="60E6AD61" w14:textId="151F5275" w:rsidR="00056BFE" w:rsidRPr="000E063D" w:rsidRDefault="5FA1A31B" w:rsidP="00056BFE">
      <w:pPr>
        <w:widowControl w:val="0"/>
        <w:rPr>
          <w:rFonts w:ascii="Tw Cen MT" w:hAnsi="Tw Cen MT"/>
        </w:rPr>
      </w:pPr>
      <w:r w:rsidRPr="000E063D">
        <w:rPr>
          <w:rFonts w:ascii="Tw Cen MT" w:eastAsia="Calibri" w:hAnsi="Tw Cen MT" w:cs="Calibri"/>
          <w:caps/>
          <w:color w:val="365F91" w:themeColor="accent1" w:themeShade="BF"/>
          <w:sz w:val="36"/>
          <w:szCs w:val="36"/>
        </w:rPr>
        <w:t>ENROLLMENT SUMMARY</w:t>
      </w:r>
    </w:p>
    <w:p w14:paraId="0C96576E" w14:textId="77777777" w:rsidR="00056BFE" w:rsidRPr="000E063D" w:rsidRDefault="00056BFE" w:rsidP="00056BFE">
      <w:pPr>
        <w:widowControl w:val="0"/>
        <w:rPr>
          <w:rFonts w:ascii="Tw Cen MT" w:hAnsi="Tw Cen MT"/>
        </w:rPr>
      </w:pPr>
    </w:p>
    <w:p w14:paraId="7EA4CDBB" w14:textId="77777777" w:rsidR="00056BFE" w:rsidRPr="000E063D" w:rsidRDefault="00056BFE" w:rsidP="00056BFE">
      <w:pPr>
        <w:pStyle w:val="TableHeader"/>
        <w:rPr>
          <w:rFonts w:ascii="Tw Cen MT" w:hAnsi="Tw Cen MT"/>
        </w:rPr>
      </w:pPr>
      <w:r w:rsidRPr="000E063D">
        <w:rPr>
          <w:rFonts w:ascii="Tw Cen MT" w:hAnsi="Tw Cen MT"/>
        </w:rPr>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0E063D" w14:paraId="05F9B0C5" w14:textId="77777777" w:rsidTr="52172790">
        <w:trPr>
          <w:jc w:val="center"/>
        </w:trPr>
        <w:tc>
          <w:tcPr>
            <w:tcW w:w="1152" w:type="dxa"/>
            <w:vAlign w:val="center"/>
          </w:tcPr>
          <w:p w14:paraId="137576AC"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School Year</w:t>
            </w:r>
          </w:p>
        </w:tc>
        <w:tc>
          <w:tcPr>
            <w:tcW w:w="576" w:type="dxa"/>
            <w:vAlign w:val="center"/>
          </w:tcPr>
          <w:p w14:paraId="1C566227"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K</w:t>
            </w:r>
          </w:p>
        </w:tc>
        <w:tc>
          <w:tcPr>
            <w:tcW w:w="576" w:type="dxa"/>
            <w:vAlign w:val="center"/>
          </w:tcPr>
          <w:p w14:paraId="39003874"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1</w:t>
            </w:r>
          </w:p>
        </w:tc>
        <w:tc>
          <w:tcPr>
            <w:tcW w:w="576" w:type="dxa"/>
            <w:vAlign w:val="center"/>
          </w:tcPr>
          <w:p w14:paraId="58827C27"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2</w:t>
            </w:r>
          </w:p>
        </w:tc>
        <w:tc>
          <w:tcPr>
            <w:tcW w:w="576" w:type="dxa"/>
            <w:vAlign w:val="center"/>
          </w:tcPr>
          <w:p w14:paraId="20E1BEFC"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3</w:t>
            </w:r>
          </w:p>
        </w:tc>
        <w:tc>
          <w:tcPr>
            <w:tcW w:w="576" w:type="dxa"/>
            <w:vAlign w:val="center"/>
          </w:tcPr>
          <w:p w14:paraId="0F6882B8"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4</w:t>
            </w:r>
          </w:p>
        </w:tc>
        <w:tc>
          <w:tcPr>
            <w:tcW w:w="576" w:type="dxa"/>
            <w:vAlign w:val="center"/>
          </w:tcPr>
          <w:p w14:paraId="376B9706"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5</w:t>
            </w:r>
          </w:p>
        </w:tc>
        <w:tc>
          <w:tcPr>
            <w:tcW w:w="576" w:type="dxa"/>
            <w:vAlign w:val="center"/>
          </w:tcPr>
          <w:p w14:paraId="358D9447"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6</w:t>
            </w:r>
          </w:p>
        </w:tc>
        <w:tc>
          <w:tcPr>
            <w:tcW w:w="576" w:type="dxa"/>
            <w:vAlign w:val="center"/>
          </w:tcPr>
          <w:p w14:paraId="137E2C21"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7</w:t>
            </w:r>
          </w:p>
        </w:tc>
        <w:tc>
          <w:tcPr>
            <w:tcW w:w="576" w:type="dxa"/>
            <w:vAlign w:val="center"/>
          </w:tcPr>
          <w:p w14:paraId="6A6FBAA3"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8</w:t>
            </w:r>
          </w:p>
        </w:tc>
        <w:tc>
          <w:tcPr>
            <w:tcW w:w="576" w:type="dxa"/>
            <w:vAlign w:val="center"/>
          </w:tcPr>
          <w:p w14:paraId="5B57F873"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9</w:t>
            </w:r>
          </w:p>
        </w:tc>
        <w:tc>
          <w:tcPr>
            <w:tcW w:w="576" w:type="dxa"/>
            <w:vAlign w:val="center"/>
          </w:tcPr>
          <w:p w14:paraId="58E32992"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10</w:t>
            </w:r>
          </w:p>
        </w:tc>
        <w:tc>
          <w:tcPr>
            <w:tcW w:w="576" w:type="dxa"/>
            <w:vAlign w:val="center"/>
          </w:tcPr>
          <w:p w14:paraId="1DBE9F0E"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11</w:t>
            </w:r>
          </w:p>
        </w:tc>
        <w:tc>
          <w:tcPr>
            <w:tcW w:w="576" w:type="dxa"/>
            <w:vAlign w:val="center"/>
          </w:tcPr>
          <w:p w14:paraId="34E8ADD5"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12</w:t>
            </w:r>
          </w:p>
        </w:tc>
        <w:tc>
          <w:tcPr>
            <w:tcW w:w="639" w:type="dxa"/>
            <w:vAlign w:val="center"/>
          </w:tcPr>
          <w:p w14:paraId="5D61A4BC" w14:textId="77777777" w:rsidR="00056BFE" w:rsidRPr="000E063D" w:rsidRDefault="00056BFE" w:rsidP="002C1A58">
            <w:pPr>
              <w:widowControl w:val="0"/>
              <w:spacing w:after="0"/>
              <w:jc w:val="center"/>
              <w:rPr>
                <w:rFonts w:ascii="Tw Cen MT" w:hAnsi="Tw Cen MT"/>
                <w:sz w:val="20"/>
              </w:rPr>
            </w:pPr>
            <w:r w:rsidRPr="000E063D">
              <w:rPr>
                <w:rFonts w:ascii="Tw Cen MT" w:hAnsi="Tw Cen MT"/>
                <w:sz w:val="20"/>
              </w:rPr>
              <w:t>Total</w:t>
            </w:r>
          </w:p>
        </w:tc>
      </w:tr>
      <w:tr w:rsidR="00056BFE" w:rsidRPr="000E063D" w14:paraId="4E758CA3" w14:textId="77777777" w:rsidTr="00CD16B7">
        <w:trPr>
          <w:trHeight w:val="377"/>
          <w:jc w:val="center"/>
        </w:trPr>
        <w:tc>
          <w:tcPr>
            <w:tcW w:w="1152" w:type="dxa"/>
            <w:vAlign w:val="center"/>
          </w:tcPr>
          <w:p w14:paraId="56FF1B54" w14:textId="34088FAD" w:rsidR="00056BFE" w:rsidRPr="000E063D" w:rsidRDefault="00056BFE" w:rsidP="52172790">
            <w:pPr>
              <w:widowControl w:val="0"/>
              <w:spacing w:after="0"/>
              <w:jc w:val="center"/>
              <w:rPr>
                <w:rFonts w:ascii="Tw Cen MT" w:hAnsi="Tw Cen MT"/>
                <w:sz w:val="20"/>
              </w:rPr>
            </w:pPr>
            <w:r w:rsidRPr="000E063D">
              <w:rPr>
                <w:rFonts w:ascii="Tw Cen MT" w:hAnsi="Tw Cen MT"/>
                <w:sz w:val="20"/>
              </w:rPr>
              <w:t>201</w:t>
            </w:r>
            <w:r w:rsidR="00012DA2" w:rsidRPr="000E063D">
              <w:rPr>
                <w:rFonts w:ascii="Tw Cen MT" w:hAnsi="Tw Cen MT"/>
                <w:sz w:val="20"/>
              </w:rPr>
              <w:t>7</w:t>
            </w:r>
            <w:r w:rsidRPr="000E063D">
              <w:rPr>
                <w:rFonts w:ascii="Tw Cen MT" w:hAnsi="Tw Cen MT"/>
                <w:sz w:val="20"/>
              </w:rPr>
              <w:t>-1</w:t>
            </w:r>
            <w:r w:rsidR="00012DA2" w:rsidRPr="000E063D">
              <w:rPr>
                <w:rFonts w:ascii="Tw Cen MT" w:hAnsi="Tw Cen MT"/>
                <w:sz w:val="20"/>
              </w:rPr>
              <w:t>8</w:t>
            </w:r>
          </w:p>
        </w:tc>
        <w:tc>
          <w:tcPr>
            <w:tcW w:w="576" w:type="dxa"/>
            <w:shd w:val="clear" w:color="auto" w:fill="000000" w:themeFill="text1"/>
            <w:vAlign w:val="center"/>
          </w:tcPr>
          <w:p w14:paraId="13C85456"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07583386"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5DBD4BB5"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420E4927"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3919344F"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16F89E0F"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5AD45361"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1E8F9758"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05ADBC0D"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7513F139"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191A01E2"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15C6FD6A" w14:textId="77777777" w:rsidR="00056BFE" w:rsidRPr="000E063D" w:rsidRDefault="00056BFE" w:rsidP="002C1A58">
            <w:pPr>
              <w:widowControl w:val="0"/>
              <w:spacing w:after="0"/>
              <w:jc w:val="center"/>
              <w:rPr>
                <w:rFonts w:ascii="Tw Cen MT" w:hAnsi="Tw Cen MT"/>
                <w:sz w:val="20"/>
              </w:rPr>
            </w:pPr>
          </w:p>
        </w:tc>
        <w:tc>
          <w:tcPr>
            <w:tcW w:w="576" w:type="dxa"/>
            <w:shd w:val="clear" w:color="auto" w:fill="000000" w:themeFill="text1"/>
            <w:vAlign w:val="center"/>
          </w:tcPr>
          <w:p w14:paraId="0DF49BD6" w14:textId="77777777" w:rsidR="00056BFE" w:rsidRPr="000E063D" w:rsidRDefault="00056BFE" w:rsidP="002C1A58">
            <w:pPr>
              <w:widowControl w:val="0"/>
              <w:spacing w:after="0"/>
              <w:jc w:val="center"/>
              <w:rPr>
                <w:rFonts w:ascii="Tw Cen MT" w:hAnsi="Tw Cen MT"/>
                <w:sz w:val="20"/>
              </w:rPr>
            </w:pPr>
          </w:p>
        </w:tc>
        <w:tc>
          <w:tcPr>
            <w:tcW w:w="639" w:type="dxa"/>
            <w:shd w:val="clear" w:color="auto" w:fill="000000" w:themeFill="text1"/>
            <w:vAlign w:val="center"/>
          </w:tcPr>
          <w:p w14:paraId="7C0B096D" w14:textId="77777777" w:rsidR="00056BFE" w:rsidRPr="000E063D" w:rsidRDefault="00056BFE" w:rsidP="002C1A58">
            <w:pPr>
              <w:widowControl w:val="0"/>
              <w:spacing w:after="0"/>
              <w:jc w:val="center"/>
              <w:rPr>
                <w:rFonts w:ascii="Tw Cen MT" w:hAnsi="Tw Cen MT"/>
                <w:sz w:val="20"/>
              </w:rPr>
            </w:pPr>
          </w:p>
        </w:tc>
      </w:tr>
      <w:tr w:rsidR="00CD16B7" w:rsidRPr="000E063D" w14:paraId="63D64CA1" w14:textId="77777777" w:rsidTr="52172790">
        <w:trPr>
          <w:trHeight w:val="413"/>
          <w:jc w:val="center"/>
        </w:trPr>
        <w:tc>
          <w:tcPr>
            <w:tcW w:w="1152" w:type="dxa"/>
            <w:vAlign w:val="center"/>
          </w:tcPr>
          <w:p w14:paraId="0EA134BE" w14:textId="26ADE224" w:rsidR="00CD16B7" w:rsidRPr="000E063D" w:rsidRDefault="00CD16B7" w:rsidP="00CD16B7">
            <w:pPr>
              <w:widowControl w:val="0"/>
              <w:spacing w:after="0"/>
              <w:jc w:val="center"/>
              <w:rPr>
                <w:rFonts w:ascii="Tw Cen MT" w:hAnsi="Tw Cen MT"/>
                <w:sz w:val="20"/>
              </w:rPr>
            </w:pPr>
            <w:r w:rsidRPr="000E063D">
              <w:rPr>
                <w:rFonts w:ascii="Tw Cen MT" w:hAnsi="Tw Cen MT"/>
                <w:sz w:val="20"/>
              </w:rPr>
              <w:t>2018-19</w:t>
            </w:r>
          </w:p>
        </w:tc>
        <w:tc>
          <w:tcPr>
            <w:tcW w:w="576" w:type="dxa"/>
            <w:vAlign w:val="center"/>
          </w:tcPr>
          <w:p w14:paraId="5971033C" w14:textId="22D92823" w:rsidR="00CD16B7" w:rsidRPr="000E063D" w:rsidRDefault="00CD16B7" w:rsidP="00CD16B7">
            <w:pPr>
              <w:widowControl w:val="0"/>
              <w:spacing w:after="0"/>
              <w:jc w:val="center"/>
              <w:rPr>
                <w:rFonts w:ascii="Tw Cen MT" w:hAnsi="Tw Cen MT"/>
                <w:sz w:val="20"/>
              </w:rPr>
            </w:pPr>
            <w:r w:rsidRPr="000E063D">
              <w:rPr>
                <w:rFonts w:ascii="Tw Cen MT" w:hAnsi="Tw Cen MT"/>
                <w:sz w:val="20"/>
              </w:rPr>
              <w:t>55</w:t>
            </w:r>
          </w:p>
        </w:tc>
        <w:tc>
          <w:tcPr>
            <w:tcW w:w="576" w:type="dxa"/>
            <w:vAlign w:val="center"/>
          </w:tcPr>
          <w:p w14:paraId="5F960710" w14:textId="7FE58AF9" w:rsidR="00CD16B7" w:rsidRPr="000E063D" w:rsidRDefault="00CD16B7" w:rsidP="00CD16B7">
            <w:pPr>
              <w:widowControl w:val="0"/>
              <w:spacing w:after="0"/>
              <w:jc w:val="center"/>
              <w:rPr>
                <w:rFonts w:ascii="Tw Cen MT" w:hAnsi="Tw Cen MT"/>
                <w:sz w:val="20"/>
              </w:rPr>
            </w:pPr>
            <w:r w:rsidRPr="000E063D">
              <w:rPr>
                <w:rFonts w:ascii="Tw Cen MT" w:hAnsi="Tw Cen MT"/>
                <w:sz w:val="20"/>
              </w:rPr>
              <w:t>47</w:t>
            </w:r>
          </w:p>
        </w:tc>
        <w:tc>
          <w:tcPr>
            <w:tcW w:w="576" w:type="dxa"/>
            <w:vAlign w:val="center"/>
          </w:tcPr>
          <w:p w14:paraId="1999CABB"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C031A36"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E115EE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B71F910"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E6CC96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6E777884"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785742B5"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46A7032E"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1031C51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6061F05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284E51A3" w14:textId="77777777" w:rsidR="00CD16B7" w:rsidRPr="000E063D" w:rsidRDefault="00CD16B7" w:rsidP="00CD16B7">
            <w:pPr>
              <w:widowControl w:val="0"/>
              <w:spacing w:after="0"/>
              <w:jc w:val="center"/>
              <w:rPr>
                <w:rFonts w:ascii="Tw Cen MT" w:hAnsi="Tw Cen MT"/>
                <w:sz w:val="20"/>
              </w:rPr>
            </w:pPr>
          </w:p>
        </w:tc>
        <w:tc>
          <w:tcPr>
            <w:tcW w:w="639" w:type="dxa"/>
            <w:vAlign w:val="center"/>
          </w:tcPr>
          <w:p w14:paraId="5F9EA2BE" w14:textId="24115E81" w:rsidR="00CD16B7" w:rsidRPr="000E063D" w:rsidRDefault="00CD16B7" w:rsidP="00CD16B7">
            <w:pPr>
              <w:widowControl w:val="0"/>
              <w:spacing w:after="0"/>
              <w:jc w:val="center"/>
              <w:rPr>
                <w:rFonts w:ascii="Tw Cen MT" w:hAnsi="Tw Cen MT"/>
                <w:sz w:val="20"/>
              </w:rPr>
            </w:pPr>
            <w:r w:rsidRPr="000E063D">
              <w:rPr>
                <w:rFonts w:ascii="Tw Cen MT" w:hAnsi="Tw Cen MT"/>
                <w:sz w:val="20"/>
              </w:rPr>
              <w:t>102</w:t>
            </w:r>
          </w:p>
        </w:tc>
      </w:tr>
      <w:tr w:rsidR="00CD16B7" w:rsidRPr="000E063D" w14:paraId="122BAB27" w14:textId="77777777" w:rsidTr="52172790">
        <w:trPr>
          <w:trHeight w:val="413"/>
          <w:jc w:val="center"/>
        </w:trPr>
        <w:tc>
          <w:tcPr>
            <w:tcW w:w="1152" w:type="dxa"/>
            <w:vAlign w:val="center"/>
          </w:tcPr>
          <w:p w14:paraId="2F46B520" w14:textId="5272308F" w:rsidR="00CD16B7" w:rsidRPr="000E063D" w:rsidRDefault="00CD16B7" w:rsidP="00CD16B7">
            <w:pPr>
              <w:widowControl w:val="0"/>
              <w:spacing w:after="0"/>
              <w:jc w:val="center"/>
              <w:rPr>
                <w:rFonts w:ascii="Tw Cen MT" w:hAnsi="Tw Cen MT"/>
                <w:sz w:val="20"/>
              </w:rPr>
            </w:pPr>
            <w:r w:rsidRPr="000E063D">
              <w:rPr>
                <w:rFonts w:ascii="Tw Cen MT" w:hAnsi="Tw Cen MT"/>
                <w:sz w:val="20"/>
              </w:rPr>
              <w:t>2019-20</w:t>
            </w:r>
          </w:p>
        </w:tc>
        <w:tc>
          <w:tcPr>
            <w:tcW w:w="576" w:type="dxa"/>
            <w:vAlign w:val="center"/>
          </w:tcPr>
          <w:p w14:paraId="469F5109" w14:textId="49635201" w:rsidR="00CD16B7" w:rsidRPr="000E063D" w:rsidRDefault="00CD16B7" w:rsidP="00CD16B7">
            <w:pPr>
              <w:widowControl w:val="0"/>
              <w:spacing w:after="0"/>
              <w:jc w:val="center"/>
              <w:rPr>
                <w:rFonts w:ascii="Tw Cen MT" w:hAnsi="Tw Cen MT"/>
                <w:sz w:val="20"/>
              </w:rPr>
            </w:pPr>
            <w:r w:rsidRPr="000E063D">
              <w:rPr>
                <w:rFonts w:ascii="Tw Cen MT" w:hAnsi="Tw Cen MT"/>
                <w:sz w:val="20"/>
              </w:rPr>
              <w:t>54</w:t>
            </w:r>
          </w:p>
        </w:tc>
        <w:tc>
          <w:tcPr>
            <w:tcW w:w="576" w:type="dxa"/>
            <w:vAlign w:val="center"/>
          </w:tcPr>
          <w:p w14:paraId="68F499E3" w14:textId="024DD3B9" w:rsidR="00CD16B7" w:rsidRPr="000E063D" w:rsidRDefault="00CD16B7" w:rsidP="00CD16B7">
            <w:pPr>
              <w:widowControl w:val="0"/>
              <w:spacing w:after="0"/>
              <w:jc w:val="center"/>
              <w:rPr>
                <w:rFonts w:ascii="Tw Cen MT" w:hAnsi="Tw Cen MT"/>
                <w:sz w:val="20"/>
              </w:rPr>
            </w:pPr>
            <w:r w:rsidRPr="000E063D">
              <w:rPr>
                <w:rFonts w:ascii="Tw Cen MT" w:hAnsi="Tw Cen MT"/>
                <w:sz w:val="20"/>
              </w:rPr>
              <w:t>58</w:t>
            </w:r>
          </w:p>
        </w:tc>
        <w:tc>
          <w:tcPr>
            <w:tcW w:w="576" w:type="dxa"/>
            <w:vAlign w:val="center"/>
          </w:tcPr>
          <w:p w14:paraId="0AC08E95" w14:textId="7EC00E22" w:rsidR="00CD16B7" w:rsidRPr="000E063D" w:rsidRDefault="00CD16B7" w:rsidP="00CD16B7">
            <w:pPr>
              <w:widowControl w:val="0"/>
              <w:spacing w:after="0"/>
              <w:jc w:val="center"/>
              <w:rPr>
                <w:rFonts w:ascii="Tw Cen MT" w:hAnsi="Tw Cen MT"/>
                <w:sz w:val="20"/>
              </w:rPr>
            </w:pPr>
            <w:r w:rsidRPr="000E063D">
              <w:rPr>
                <w:rFonts w:ascii="Tw Cen MT" w:hAnsi="Tw Cen MT"/>
                <w:sz w:val="20"/>
              </w:rPr>
              <w:t>58</w:t>
            </w:r>
          </w:p>
        </w:tc>
        <w:tc>
          <w:tcPr>
            <w:tcW w:w="576" w:type="dxa"/>
            <w:vAlign w:val="center"/>
          </w:tcPr>
          <w:p w14:paraId="182A99F0"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5603B5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47D075EE"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23490DB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449F1E29"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2754E316"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7E9894CF"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E91D6E4"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7BEDAEE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685B0DEF" w14:textId="77777777" w:rsidR="00CD16B7" w:rsidRPr="000E063D" w:rsidRDefault="00CD16B7" w:rsidP="00CD16B7">
            <w:pPr>
              <w:widowControl w:val="0"/>
              <w:spacing w:after="0"/>
              <w:jc w:val="center"/>
              <w:rPr>
                <w:rFonts w:ascii="Tw Cen MT" w:hAnsi="Tw Cen MT"/>
                <w:sz w:val="20"/>
              </w:rPr>
            </w:pPr>
          </w:p>
        </w:tc>
        <w:tc>
          <w:tcPr>
            <w:tcW w:w="639" w:type="dxa"/>
            <w:vAlign w:val="center"/>
          </w:tcPr>
          <w:p w14:paraId="08327127" w14:textId="28EB3BD2" w:rsidR="00CD16B7" w:rsidRPr="000E063D" w:rsidRDefault="00CD16B7" w:rsidP="00CD16B7">
            <w:pPr>
              <w:widowControl w:val="0"/>
              <w:spacing w:after="0"/>
              <w:jc w:val="center"/>
              <w:rPr>
                <w:rFonts w:ascii="Tw Cen MT" w:hAnsi="Tw Cen MT"/>
                <w:sz w:val="20"/>
              </w:rPr>
            </w:pPr>
            <w:r w:rsidRPr="000E063D">
              <w:rPr>
                <w:rFonts w:ascii="Tw Cen MT" w:hAnsi="Tw Cen MT"/>
                <w:sz w:val="20"/>
              </w:rPr>
              <w:t>170</w:t>
            </w:r>
          </w:p>
        </w:tc>
      </w:tr>
      <w:tr w:rsidR="00CD16B7" w:rsidRPr="000E063D" w14:paraId="4FFA366A" w14:textId="77777777" w:rsidTr="52172790">
        <w:trPr>
          <w:trHeight w:val="413"/>
          <w:jc w:val="center"/>
        </w:trPr>
        <w:tc>
          <w:tcPr>
            <w:tcW w:w="1152" w:type="dxa"/>
            <w:vAlign w:val="center"/>
          </w:tcPr>
          <w:p w14:paraId="3051C3AC" w14:textId="37160953" w:rsidR="00CD16B7" w:rsidRPr="000E063D" w:rsidRDefault="00CD16B7" w:rsidP="00CD16B7">
            <w:pPr>
              <w:widowControl w:val="0"/>
              <w:spacing w:after="0"/>
              <w:jc w:val="center"/>
              <w:rPr>
                <w:rFonts w:ascii="Tw Cen MT" w:hAnsi="Tw Cen MT"/>
                <w:sz w:val="20"/>
              </w:rPr>
            </w:pPr>
            <w:r w:rsidRPr="000E063D">
              <w:rPr>
                <w:rFonts w:ascii="Tw Cen MT" w:hAnsi="Tw Cen MT"/>
                <w:sz w:val="20"/>
              </w:rPr>
              <w:t>2020-21</w:t>
            </w:r>
          </w:p>
        </w:tc>
        <w:tc>
          <w:tcPr>
            <w:tcW w:w="576" w:type="dxa"/>
            <w:vAlign w:val="center"/>
          </w:tcPr>
          <w:p w14:paraId="4BCC626B" w14:textId="6362AF71" w:rsidR="00CD16B7" w:rsidRPr="000E063D" w:rsidRDefault="00CD16B7" w:rsidP="00CD16B7">
            <w:pPr>
              <w:widowControl w:val="0"/>
              <w:spacing w:after="0"/>
              <w:jc w:val="center"/>
              <w:rPr>
                <w:rFonts w:ascii="Tw Cen MT" w:hAnsi="Tw Cen MT"/>
                <w:sz w:val="20"/>
              </w:rPr>
            </w:pPr>
            <w:r w:rsidRPr="000E063D">
              <w:rPr>
                <w:rFonts w:ascii="Tw Cen MT" w:hAnsi="Tw Cen MT"/>
                <w:sz w:val="20"/>
              </w:rPr>
              <w:t>54</w:t>
            </w:r>
          </w:p>
        </w:tc>
        <w:tc>
          <w:tcPr>
            <w:tcW w:w="576" w:type="dxa"/>
            <w:vAlign w:val="center"/>
          </w:tcPr>
          <w:p w14:paraId="7AE880E7" w14:textId="5BF17F2E" w:rsidR="00CD16B7" w:rsidRPr="000E063D" w:rsidRDefault="00CD16B7" w:rsidP="00CD16B7">
            <w:pPr>
              <w:widowControl w:val="0"/>
              <w:spacing w:after="0"/>
              <w:jc w:val="center"/>
              <w:rPr>
                <w:rFonts w:ascii="Tw Cen MT" w:hAnsi="Tw Cen MT"/>
                <w:sz w:val="20"/>
              </w:rPr>
            </w:pPr>
            <w:r w:rsidRPr="000E063D">
              <w:rPr>
                <w:rFonts w:ascii="Tw Cen MT" w:hAnsi="Tw Cen MT"/>
                <w:sz w:val="20"/>
              </w:rPr>
              <w:t>56</w:t>
            </w:r>
          </w:p>
        </w:tc>
        <w:tc>
          <w:tcPr>
            <w:tcW w:w="576" w:type="dxa"/>
            <w:vAlign w:val="center"/>
          </w:tcPr>
          <w:p w14:paraId="44A61C8C" w14:textId="5AA8EE96" w:rsidR="00CD16B7" w:rsidRPr="000E063D" w:rsidRDefault="00CD16B7" w:rsidP="00CD16B7">
            <w:pPr>
              <w:widowControl w:val="0"/>
              <w:spacing w:after="0"/>
              <w:jc w:val="center"/>
              <w:rPr>
                <w:rFonts w:ascii="Tw Cen MT" w:hAnsi="Tw Cen MT"/>
                <w:sz w:val="20"/>
              </w:rPr>
            </w:pPr>
            <w:r w:rsidRPr="000E063D">
              <w:rPr>
                <w:rFonts w:ascii="Tw Cen MT" w:hAnsi="Tw Cen MT"/>
                <w:sz w:val="20"/>
              </w:rPr>
              <w:t>58</w:t>
            </w:r>
          </w:p>
        </w:tc>
        <w:tc>
          <w:tcPr>
            <w:tcW w:w="576" w:type="dxa"/>
            <w:vAlign w:val="center"/>
          </w:tcPr>
          <w:p w14:paraId="33A1FFCD" w14:textId="1DD5D965" w:rsidR="00CD16B7" w:rsidRPr="000E063D" w:rsidRDefault="00CD16B7" w:rsidP="00CD16B7">
            <w:pPr>
              <w:widowControl w:val="0"/>
              <w:spacing w:after="0"/>
              <w:jc w:val="center"/>
              <w:rPr>
                <w:rFonts w:ascii="Tw Cen MT" w:hAnsi="Tw Cen MT"/>
                <w:sz w:val="20"/>
              </w:rPr>
            </w:pPr>
            <w:r w:rsidRPr="000E063D">
              <w:rPr>
                <w:rFonts w:ascii="Tw Cen MT" w:hAnsi="Tw Cen MT"/>
                <w:sz w:val="20"/>
              </w:rPr>
              <w:t>57</w:t>
            </w:r>
          </w:p>
        </w:tc>
        <w:tc>
          <w:tcPr>
            <w:tcW w:w="576" w:type="dxa"/>
            <w:vAlign w:val="center"/>
          </w:tcPr>
          <w:p w14:paraId="68DF2640"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3CB49BA"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8D854AA"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E34CD6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2AB8EBD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133C87E0"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14355E04"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E64776C"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4F465E5F" w14:textId="77777777" w:rsidR="00CD16B7" w:rsidRPr="000E063D" w:rsidRDefault="00CD16B7" w:rsidP="00CD16B7">
            <w:pPr>
              <w:widowControl w:val="0"/>
              <w:spacing w:after="0"/>
              <w:jc w:val="center"/>
              <w:rPr>
                <w:rFonts w:ascii="Tw Cen MT" w:hAnsi="Tw Cen MT"/>
                <w:sz w:val="20"/>
              </w:rPr>
            </w:pPr>
          </w:p>
        </w:tc>
        <w:tc>
          <w:tcPr>
            <w:tcW w:w="639" w:type="dxa"/>
            <w:vAlign w:val="center"/>
          </w:tcPr>
          <w:p w14:paraId="599F512E" w14:textId="3001B68F" w:rsidR="00CD16B7" w:rsidRPr="000E063D" w:rsidRDefault="00CD16B7" w:rsidP="00CD16B7">
            <w:pPr>
              <w:widowControl w:val="0"/>
              <w:spacing w:after="0"/>
              <w:jc w:val="center"/>
              <w:rPr>
                <w:rFonts w:ascii="Tw Cen MT" w:hAnsi="Tw Cen MT"/>
                <w:sz w:val="20"/>
              </w:rPr>
            </w:pPr>
            <w:r w:rsidRPr="000E063D">
              <w:rPr>
                <w:rFonts w:ascii="Tw Cen MT" w:hAnsi="Tw Cen MT"/>
                <w:sz w:val="20"/>
              </w:rPr>
              <w:t>225</w:t>
            </w:r>
          </w:p>
        </w:tc>
      </w:tr>
      <w:tr w:rsidR="00CD16B7" w:rsidRPr="000E063D" w14:paraId="344A540B" w14:textId="77777777" w:rsidTr="52172790">
        <w:trPr>
          <w:trHeight w:val="413"/>
          <w:jc w:val="center"/>
        </w:trPr>
        <w:tc>
          <w:tcPr>
            <w:tcW w:w="1152" w:type="dxa"/>
            <w:vAlign w:val="center"/>
          </w:tcPr>
          <w:p w14:paraId="4D065F24" w14:textId="4736A1D8" w:rsidR="00CD16B7" w:rsidRPr="000E063D" w:rsidRDefault="00CD16B7" w:rsidP="00CD16B7">
            <w:pPr>
              <w:widowControl w:val="0"/>
              <w:spacing w:after="0"/>
              <w:jc w:val="center"/>
              <w:rPr>
                <w:rFonts w:ascii="Tw Cen MT" w:hAnsi="Tw Cen MT"/>
                <w:sz w:val="20"/>
              </w:rPr>
            </w:pPr>
            <w:r w:rsidRPr="000E063D">
              <w:rPr>
                <w:rFonts w:ascii="Tw Cen MT" w:hAnsi="Tw Cen MT"/>
                <w:sz w:val="20"/>
              </w:rPr>
              <w:t>2021-22</w:t>
            </w:r>
          </w:p>
        </w:tc>
        <w:tc>
          <w:tcPr>
            <w:tcW w:w="576" w:type="dxa"/>
            <w:vAlign w:val="center"/>
          </w:tcPr>
          <w:p w14:paraId="087CD1BB" w14:textId="54F3BC3A" w:rsidR="00CD16B7" w:rsidRPr="000E063D" w:rsidRDefault="00A87F95" w:rsidP="00CD16B7">
            <w:pPr>
              <w:widowControl w:val="0"/>
              <w:spacing w:after="0"/>
              <w:jc w:val="center"/>
              <w:rPr>
                <w:rFonts w:ascii="Tw Cen MT" w:hAnsi="Tw Cen MT"/>
                <w:sz w:val="20"/>
              </w:rPr>
            </w:pPr>
            <w:r>
              <w:rPr>
                <w:rFonts w:ascii="Tw Cen MT" w:hAnsi="Tw Cen MT"/>
                <w:sz w:val="20"/>
              </w:rPr>
              <w:t>51</w:t>
            </w:r>
          </w:p>
        </w:tc>
        <w:tc>
          <w:tcPr>
            <w:tcW w:w="576" w:type="dxa"/>
            <w:vAlign w:val="center"/>
          </w:tcPr>
          <w:p w14:paraId="3786AAC2" w14:textId="0EEE4BB5" w:rsidR="00CD16B7" w:rsidRPr="000E063D" w:rsidRDefault="00A87F95" w:rsidP="00CD16B7">
            <w:pPr>
              <w:widowControl w:val="0"/>
              <w:spacing w:after="0"/>
              <w:jc w:val="center"/>
              <w:rPr>
                <w:rFonts w:ascii="Tw Cen MT" w:hAnsi="Tw Cen MT"/>
                <w:sz w:val="20"/>
              </w:rPr>
            </w:pPr>
            <w:r>
              <w:rPr>
                <w:rFonts w:ascii="Tw Cen MT" w:hAnsi="Tw Cen MT"/>
                <w:sz w:val="20"/>
              </w:rPr>
              <w:t>50</w:t>
            </w:r>
          </w:p>
        </w:tc>
        <w:tc>
          <w:tcPr>
            <w:tcW w:w="576" w:type="dxa"/>
            <w:vAlign w:val="center"/>
          </w:tcPr>
          <w:p w14:paraId="44519451" w14:textId="500793AE" w:rsidR="00CD16B7" w:rsidRPr="000E063D" w:rsidRDefault="002A6340" w:rsidP="00CD16B7">
            <w:pPr>
              <w:widowControl w:val="0"/>
              <w:spacing w:after="0"/>
              <w:jc w:val="center"/>
              <w:rPr>
                <w:rFonts w:ascii="Tw Cen MT" w:hAnsi="Tw Cen MT"/>
                <w:sz w:val="20"/>
              </w:rPr>
            </w:pPr>
            <w:r>
              <w:rPr>
                <w:rFonts w:ascii="Tw Cen MT" w:hAnsi="Tw Cen MT"/>
                <w:sz w:val="20"/>
              </w:rPr>
              <w:t>56</w:t>
            </w:r>
          </w:p>
        </w:tc>
        <w:tc>
          <w:tcPr>
            <w:tcW w:w="576" w:type="dxa"/>
            <w:vAlign w:val="center"/>
          </w:tcPr>
          <w:p w14:paraId="08B3B7FA" w14:textId="59618DD3" w:rsidR="00CD16B7" w:rsidRPr="000E063D" w:rsidRDefault="002A6340" w:rsidP="00CD16B7">
            <w:pPr>
              <w:widowControl w:val="0"/>
              <w:spacing w:after="0"/>
              <w:jc w:val="center"/>
              <w:rPr>
                <w:rFonts w:ascii="Tw Cen MT" w:hAnsi="Tw Cen MT"/>
                <w:sz w:val="20"/>
              </w:rPr>
            </w:pPr>
            <w:r>
              <w:rPr>
                <w:rFonts w:ascii="Tw Cen MT" w:hAnsi="Tw Cen MT"/>
                <w:sz w:val="20"/>
              </w:rPr>
              <w:t>54</w:t>
            </w:r>
          </w:p>
        </w:tc>
        <w:tc>
          <w:tcPr>
            <w:tcW w:w="576" w:type="dxa"/>
            <w:vAlign w:val="center"/>
          </w:tcPr>
          <w:p w14:paraId="71A5AF69" w14:textId="7CA7DF56" w:rsidR="00CD16B7" w:rsidRPr="000E063D" w:rsidRDefault="002A6340" w:rsidP="00CD16B7">
            <w:pPr>
              <w:widowControl w:val="0"/>
              <w:spacing w:after="0"/>
              <w:jc w:val="center"/>
              <w:rPr>
                <w:rFonts w:ascii="Tw Cen MT" w:hAnsi="Tw Cen MT"/>
                <w:sz w:val="20"/>
              </w:rPr>
            </w:pPr>
            <w:r>
              <w:rPr>
                <w:rFonts w:ascii="Tw Cen MT" w:hAnsi="Tw Cen MT"/>
                <w:sz w:val="20"/>
              </w:rPr>
              <w:t>55</w:t>
            </w:r>
          </w:p>
        </w:tc>
        <w:tc>
          <w:tcPr>
            <w:tcW w:w="576" w:type="dxa"/>
            <w:vAlign w:val="center"/>
          </w:tcPr>
          <w:p w14:paraId="7C4734D2"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52C248DC"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0272016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6AACB251"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7E41CED3"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DA88018"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0446F3E9" w14:textId="77777777" w:rsidR="00CD16B7" w:rsidRPr="000E063D" w:rsidRDefault="00CD16B7" w:rsidP="00CD16B7">
            <w:pPr>
              <w:widowControl w:val="0"/>
              <w:spacing w:after="0"/>
              <w:jc w:val="center"/>
              <w:rPr>
                <w:rFonts w:ascii="Tw Cen MT" w:hAnsi="Tw Cen MT"/>
                <w:sz w:val="20"/>
              </w:rPr>
            </w:pPr>
          </w:p>
        </w:tc>
        <w:tc>
          <w:tcPr>
            <w:tcW w:w="576" w:type="dxa"/>
            <w:vAlign w:val="center"/>
          </w:tcPr>
          <w:p w14:paraId="3107E74B" w14:textId="77777777" w:rsidR="00CD16B7" w:rsidRPr="000E063D" w:rsidRDefault="00CD16B7" w:rsidP="00CD16B7">
            <w:pPr>
              <w:widowControl w:val="0"/>
              <w:spacing w:after="0"/>
              <w:jc w:val="center"/>
              <w:rPr>
                <w:rFonts w:ascii="Tw Cen MT" w:hAnsi="Tw Cen MT"/>
                <w:sz w:val="20"/>
              </w:rPr>
            </w:pPr>
          </w:p>
        </w:tc>
        <w:tc>
          <w:tcPr>
            <w:tcW w:w="639" w:type="dxa"/>
            <w:vAlign w:val="center"/>
          </w:tcPr>
          <w:p w14:paraId="17410430" w14:textId="2C9326E6" w:rsidR="00CD16B7" w:rsidRPr="000E063D" w:rsidRDefault="002A6340" w:rsidP="00CD16B7">
            <w:pPr>
              <w:widowControl w:val="0"/>
              <w:spacing w:after="0"/>
              <w:jc w:val="center"/>
              <w:rPr>
                <w:rFonts w:ascii="Tw Cen MT" w:hAnsi="Tw Cen MT"/>
                <w:sz w:val="20"/>
              </w:rPr>
            </w:pPr>
            <w:r>
              <w:rPr>
                <w:rFonts w:ascii="Tw Cen MT" w:hAnsi="Tw Cen MT"/>
                <w:sz w:val="20"/>
              </w:rPr>
              <w:t>266</w:t>
            </w:r>
          </w:p>
        </w:tc>
      </w:tr>
    </w:tbl>
    <w:p w14:paraId="6FA41A22" w14:textId="196CF147" w:rsidR="00056BFE" w:rsidRPr="000E063D" w:rsidRDefault="00EB48F9" w:rsidP="00056BFE">
      <w:pPr>
        <w:pStyle w:val="Heading1"/>
        <w:rPr>
          <w:rFonts w:ascii="Tw Cen MT" w:hAnsi="Tw Cen MT"/>
        </w:rPr>
      </w:pPr>
      <w:bookmarkStart w:id="1" w:name="ELA"/>
      <w:r w:rsidRPr="000E063D">
        <w:rPr>
          <w:rFonts w:ascii="Tw Cen MT" w:hAnsi="Tw Cen MT"/>
        </w:rPr>
        <w:lastRenderedPageBreak/>
        <w:t xml:space="preserve">GOAL </w:t>
      </w:r>
      <w:r w:rsidR="00A1772B" w:rsidRPr="000E063D">
        <w:rPr>
          <w:rFonts w:ascii="Tw Cen MT" w:hAnsi="Tw Cen MT"/>
        </w:rPr>
        <w:t>1</w:t>
      </w:r>
      <w:r w:rsidRPr="000E063D">
        <w:rPr>
          <w:rFonts w:ascii="Tw Cen MT" w:hAnsi="Tw Cen MT"/>
        </w:rPr>
        <w:t xml:space="preserve">: </w:t>
      </w:r>
      <w:r w:rsidR="00056BFE" w:rsidRPr="000E063D">
        <w:rPr>
          <w:rFonts w:ascii="Tw Cen MT" w:hAnsi="Tw Cen MT"/>
        </w:rPr>
        <w:t>ENGLISH LANGUAGE ARTS</w:t>
      </w:r>
      <w:bookmarkEnd w:id="1"/>
    </w:p>
    <w:p w14:paraId="5291B09C" w14:textId="216CE924" w:rsidR="00D421C8" w:rsidRPr="000E063D" w:rsidRDefault="00D421C8" w:rsidP="00D421C8">
      <w:pPr>
        <w:pStyle w:val="GoalTitle"/>
        <w:rPr>
          <w:rFonts w:ascii="Tw Cen MT" w:hAnsi="Tw Cen MT"/>
        </w:rPr>
      </w:pPr>
      <w:bookmarkStart w:id="2" w:name="_Hlk104475741"/>
      <w:r w:rsidRPr="000E063D">
        <w:rPr>
          <w:rFonts w:ascii="Tw Cen MT" w:hAnsi="Tw Cen MT"/>
        </w:rPr>
        <w:t xml:space="preserve">Goal </w:t>
      </w:r>
      <w:r w:rsidR="00A1772B" w:rsidRPr="000E063D">
        <w:rPr>
          <w:rFonts w:ascii="Tw Cen MT" w:hAnsi="Tw Cen MT"/>
        </w:rPr>
        <w:t>1</w:t>
      </w:r>
      <w:r w:rsidRPr="000E063D">
        <w:rPr>
          <w:rFonts w:ascii="Tw Cen MT" w:hAnsi="Tw Cen MT"/>
        </w:rPr>
        <w:t>: English Language Arts</w:t>
      </w:r>
    </w:p>
    <w:p w14:paraId="7A53C98C" w14:textId="77777777" w:rsidR="009E77B8" w:rsidRDefault="009E77B8" w:rsidP="009E77B8">
      <w:pPr>
        <w:spacing w:after="0"/>
        <w:rPr>
          <w:rFonts w:ascii="Tw Cen MT" w:hAnsi="Tw Cen MT" w:cstheme="minorHAnsi"/>
          <w:b/>
        </w:rPr>
      </w:pPr>
      <w:r w:rsidRPr="00F459E6">
        <w:rPr>
          <w:rFonts w:ascii="Tw Cen MT" w:hAnsi="Tw Cen MT" w:cstheme="minorHAnsi"/>
          <w:b/>
        </w:rPr>
        <w:t xml:space="preserve">Students will be proficient in English Language Arts. </w:t>
      </w:r>
    </w:p>
    <w:p w14:paraId="21018A10" w14:textId="77777777" w:rsidR="001D544B" w:rsidRPr="000E063D" w:rsidRDefault="001D544B" w:rsidP="001D544B">
      <w:pPr>
        <w:pStyle w:val="Heading2"/>
        <w:rPr>
          <w:rFonts w:ascii="Tw Cen MT" w:hAnsi="Tw Cen MT"/>
        </w:rPr>
      </w:pPr>
      <w:r w:rsidRPr="000E063D">
        <w:rPr>
          <w:rFonts w:ascii="Tw Cen MT" w:hAnsi="Tw Cen MT"/>
        </w:rPr>
        <w:t>Background</w:t>
      </w:r>
    </w:p>
    <w:p w14:paraId="76EEBD0D" w14:textId="260F0BCB" w:rsidR="006C6DBC" w:rsidRDefault="006C6DBC" w:rsidP="006C6DBC">
      <w:pPr>
        <w:jc w:val="both"/>
        <w:rPr>
          <w:rFonts w:ascii="Tw Cen MT" w:hAnsi="Tw Cen MT"/>
        </w:rPr>
      </w:pPr>
      <w:r>
        <w:rPr>
          <w:rFonts w:ascii="Tw Cen MT" w:hAnsi="Tw Cen MT"/>
        </w:rPr>
        <w:t xml:space="preserve">As previously mentioned, we operated the year fully in-person, with a small number of students and classes </w:t>
      </w:r>
      <w:r w:rsidR="00D02484">
        <w:rPr>
          <w:rFonts w:ascii="Tw Cen MT" w:hAnsi="Tw Cen MT"/>
        </w:rPr>
        <w:t xml:space="preserve">completing short quarantines, as needed.  During all periods of quarantine, virtual instruction took place with synchronous instruction in ELA and small reading groups.  All scholars also had access to Lexia throughout the year. </w:t>
      </w:r>
    </w:p>
    <w:p w14:paraId="2A442604" w14:textId="7394C19B" w:rsidR="00D02484" w:rsidRDefault="00D02484" w:rsidP="006C6DBC">
      <w:pPr>
        <w:jc w:val="both"/>
        <w:rPr>
          <w:rFonts w:ascii="Tw Cen MT" w:hAnsi="Tw Cen MT"/>
        </w:rPr>
      </w:pPr>
      <w:r>
        <w:rPr>
          <w:rFonts w:ascii="Tw Cen MT" w:hAnsi="Tw Cen MT"/>
        </w:rPr>
        <w:t>In alignment with the Science of Reading research, we continued our daily foundations block in all grade levels and our implementation of the Insight Humanities curriculum</w:t>
      </w:r>
      <w:r w:rsidR="00685769">
        <w:rPr>
          <w:rFonts w:ascii="Tw Cen MT" w:hAnsi="Tw Cen MT"/>
        </w:rPr>
        <w:t xml:space="preserve">, developed by the Lavinia Group. </w:t>
      </w:r>
    </w:p>
    <w:p w14:paraId="2B11192E" w14:textId="6C08229B" w:rsidR="00685769" w:rsidRDefault="00685769" w:rsidP="006C6DBC">
      <w:pPr>
        <w:jc w:val="both"/>
        <w:rPr>
          <w:rFonts w:ascii="Tw Cen MT" w:hAnsi="Tw Cen MT"/>
        </w:rPr>
      </w:pPr>
      <w:r>
        <w:rPr>
          <w:rFonts w:ascii="Tw Cen MT" w:hAnsi="Tw Cen MT"/>
        </w:rPr>
        <w:t xml:space="preserve">Our major shift in our ELA program this year was our administration of the DIBELS assessment and the purchase of its associated </w:t>
      </w:r>
      <w:proofErr w:type="spellStart"/>
      <w:r>
        <w:rPr>
          <w:rFonts w:ascii="Tw Cen MT" w:hAnsi="Tw Cen MT"/>
        </w:rPr>
        <w:t>mClass</w:t>
      </w:r>
      <w:proofErr w:type="spellEnd"/>
      <w:r>
        <w:rPr>
          <w:rFonts w:ascii="Tw Cen MT" w:hAnsi="Tw Cen MT"/>
        </w:rPr>
        <w:t xml:space="preserve"> intervention </w:t>
      </w:r>
      <w:r w:rsidR="00F204B6">
        <w:rPr>
          <w:rFonts w:ascii="Tw Cen MT" w:hAnsi="Tw Cen MT"/>
        </w:rPr>
        <w:t xml:space="preserve">program.  </w:t>
      </w:r>
      <w:r w:rsidR="00D21350">
        <w:rPr>
          <w:rFonts w:ascii="Tw Cen MT" w:hAnsi="Tw Cen MT"/>
        </w:rPr>
        <w:t xml:space="preserve">The DIBELS assessment was administered to all scholars three times throughout the year (September, </w:t>
      </w:r>
      <w:proofErr w:type="gramStart"/>
      <w:r w:rsidR="00D21350">
        <w:rPr>
          <w:rFonts w:ascii="Tw Cen MT" w:hAnsi="Tw Cen MT"/>
        </w:rPr>
        <w:t>December</w:t>
      </w:r>
      <w:proofErr w:type="gramEnd"/>
      <w:r w:rsidR="00D21350">
        <w:rPr>
          <w:rFonts w:ascii="Tw Cen MT" w:hAnsi="Tw Cen MT"/>
        </w:rPr>
        <w:t xml:space="preserve"> and June) through the </w:t>
      </w:r>
      <w:proofErr w:type="spellStart"/>
      <w:r w:rsidR="00D21350">
        <w:rPr>
          <w:rFonts w:ascii="Tw Cen MT" w:hAnsi="Tw Cen MT"/>
        </w:rPr>
        <w:t>mClass</w:t>
      </w:r>
      <w:proofErr w:type="spellEnd"/>
      <w:r w:rsidR="00D21350">
        <w:rPr>
          <w:rFonts w:ascii="Tw Cen MT" w:hAnsi="Tw Cen MT"/>
        </w:rPr>
        <w:t xml:space="preserve"> Amplify platform.  This platform made data immediately available and digestible to staff and </w:t>
      </w:r>
      <w:proofErr w:type="gramStart"/>
      <w:r w:rsidR="00D21350">
        <w:rPr>
          <w:rFonts w:ascii="Tw Cen MT" w:hAnsi="Tw Cen MT"/>
        </w:rPr>
        <w:t>leaders</w:t>
      </w:r>
      <w:r w:rsidR="001B5C69">
        <w:rPr>
          <w:rFonts w:ascii="Tw Cen MT" w:hAnsi="Tw Cen MT"/>
        </w:rPr>
        <w:t>, and</w:t>
      </w:r>
      <w:proofErr w:type="gramEnd"/>
      <w:r w:rsidR="001B5C69">
        <w:rPr>
          <w:rFonts w:ascii="Tw Cen MT" w:hAnsi="Tw Cen MT"/>
        </w:rPr>
        <w:t xml:space="preserve"> allowed us to quickly create intervention groups based on demonstrated scholar areas of growth.  The </w:t>
      </w:r>
      <w:proofErr w:type="spellStart"/>
      <w:r w:rsidR="001B5C69">
        <w:rPr>
          <w:rFonts w:ascii="Tw Cen MT" w:hAnsi="Tw Cen MT"/>
        </w:rPr>
        <w:t>mClass</w:t>
      </w:r>
      <w:proofErr w:type="spellEnd"/>
      <w:r w:rsidR="001B5C69">
        <w:rPr>
          <w:rFonts w:ascii="Tw Cen MT" w:hAnsi="Tw Cen MT"/>
        </w:rPr>
        <w:t xml:space="preserve"> intervention program created 10-day bursts of lesson plans that directly targeted these areas of need.  Teachers (both classroom and interventionists) were able to </w:t>
      </w:r>
      <w:r w:rsidR="00FE6147">
        <w:rPr>
          <w:rFonts w:ascii="Tw Cen MT" w:hAnsi="Tw Cen MT"/>
        </w:rPr>
        <w:t xml:space="preserve">implement these bursts and progress monitor scholars between rounds of assessment.  Data from the DIBELS assessment is included below as an additional data point. </w:t>
      </w:r>
    </w:p>
    <w:p w14:paraId="5D2A146E" w14:textId="77777777" w:rsidR="002E28F6" w:rsidRPr="000E063D" w:rsidRDefault="002E28F6" w:rsidP="002E28F6">
      <w:pPr>
        <w:pStyle w:val="Heading2"/>
        <w:rPr>
          <w:rStyle w:val="Heading1Char"/>
          <w:rFonts w:ascii="Tw Cen MT" w:hAnsi="Tw Cen MT"/>
          <w:sz w:val="30"/>
          <w:szCs w:val="30"/>
        </w:rPr>
      </w:pPr>
      <w:r w:rsidRPr="000E063D">
        <w:rPr>
          <w:rStyle w:val="Heading1Char"/>
          <w:rFonts w:ascii="Tw Cen MT" w:hAnsi="Tw Cen MT"/>
          <w:sz w:val="30"/>
          <w:szCs w:val="30"/>
        </w:rPr>
        <w:t>ELEMENTARY AND MIDDLE ENGLISH LANGUAGE ARTS</w:t>
      </w:r>
    </w:p>
    <w:p w14:paraId="111975E2" w14:textId="77777777" w:rsidR="002E28F6" w:rsidRPr="000E063D" w:rsidRDefault="002E28F6" w:rsidP="001D544B">
      <w:pPr>
        <w:rPr>
          <w:rFonts w:ascii="Tw Cen MT" w:hAnsi="Tw Cen MT"/>
          <w:highlight w:val="lightGray"/>
        </w:rPr>
      </w:pPr>
    </w:p>
    <w:p w14:paraId="34694921" w14:textId="023D5A3E" w:rsidR="001D544B" w:rsidRPr="000E063D" w:rsidRDefault="001D544B" w:rsidP="001D544B">
      <w:pPr>
        <w:pStyle w:val="MeasureTitle"/>
        <w:rPr>
          <w:rFonts w:ascii="Tw Cen MT" w:hAnsi="Tw Cen MT"/>
        </w:rPr>
      </w:pPr>
      <w:r w:rsidRPr="000E063D">
        <w:rPr>
          <w:rFonts w:ascii="Tw Cen MT" w:hAnsi="Tw Cen MT"/>
        </w:rPr>
        <w:t xml:space="preserve">Goal </w:t>
      </w:r>
      <w:r w:rsidR="00887AA2" w:rsidRPr="000E063D">
        <w:rPr>
          <w:rFonts w:ascii="Tw Cen MT" w:hAnsi="Tw Cen MT"/>
        </w:rPr>
        <w:t>1</w:t>
      </w:r>
      <w:r w:rsidRPr="000E063D">
        <w:rPr>
          <w:rFonts w:ascii="Tw Cen MT" w:hAnsi="Tw Cen MT"/>
        </w:rPr>
        <w:t>: Absolute Measure</w:t>
      </w:r>
    </w:p>
    <w:p w14:paraId="46273AB9" w14:textId="77777777" w:rsidR="001D544B" w:rsidRPr="000E063D" w:rsidRDefault="001D544B" w:rsidP="001D544B">
      <w:pPr>
        <w:pStyle w:val="MeasureText"/>
        <w:rPr>
          <w:rFonts w:ascii="Tw Cen MT" w:hAnsi="Tw Cen MT"/>
        </w:rPr>
      </w:pPr>
      <w:r w:rsidRPr="000E063D">
        <w:rPr>
          <w:rFonts w:ascii="Tw Cen MT" w:hAnsi="Tw Cen MT"/>
        </w:rPr>
        <w:t xml:space="preserve">Each year, 75 percent of all tested students enrolled in at least their second year will perform at or above proficiency on the New York State English language arts examination for grades 3-8.  </w:t>
      </w:r>
    </w:p>
    <w:p w14:paraId="6A04ACD6" w14:textId="77777777" w:rsidR="001D544B" w:rsidRPr="000E063D" w:rsidRDefault="001D544B" w:rsidP="001D544B">
      <w:pPr>
        <w:pStyle w:val="Heading2"/>
        <w:rPr>
          <w:rFonts w:ascii="Tw Cen MT" w:hAnsi="Tw Cen MT"/>
        </w:rPr>
      </w:pPr>
      <w:r w:rsidRPr="000E063D">
        <w:rPr>
          <w:rFonts w:ascii="Tw Cen MT" w:hAnsi="Tw Cen MT"/>
        </w:rPr>
        <w:t>Method</w:t>
      </w:r>
    </w:p>
    <w:p w14:paraId="50678195" w14:textId="7A12CEDA" w:rsidR="001D544B" w:rsidRPr="000E063D" w:rsidRDefault="001D544B" w:rsidP="001D544B">
      <w:pPr>
        <w:rPr>
          <w:rFonts w:ascii="Tw Cen MT" w:hAnsi="Tw Cen MT"/>
        </w:rPr>
      </w:pPr>
      <w:r w:rsidRPr="000E063D">
        <w:rPr>
          <w:rFonts w:ascii="Tw Cen MT" w:hAnsi="Tw Cen MT"/>
        </w:rPr>
        <w:t xml:space="preserve">The school administered the New York State Testing Program English language arts (“ELA”) assessment to students </w:t>
      </w:r>
      <w:r w:rsidRPr="000E574D">
        <w:rPr>
          <w:rFonts w:ascii="Tw Cen MT" w:hAnsi="Tw Cen MT"/>
        </w:rPr>
        <w:t xml:space="preserve">in </w:t>
      </w:r>
      <w:sdt>
        <w:sdtPr>
          <w:rPr>
            <w:rFonts w:ascii="Tw Cen MT" w:hAnsi="Tw Cen MT"/>
          </w:rPr>
          <w:id w:val="-1272768149"/>
          <w:placeholder>
            <w:docPart w:val="A9E7E39C2A6F489692D3212FB103CD15"/>
          </w:placeholder>
        </w:sdtPr>
        <w:sdtContent>
          <w:r w:rsidR="001777DF" w:rsidRPr="000E574D">
            <w:rPr>
              <w:rFonts w:ascii="Tw Cen MT" w:hAnsi="Tw Cen MT"/>
            </w:rPr>
            <w:t>3</w:t>
          </w:r>
        </w:sdtContent>
      </w:sdt>
      <w:r w:rsidRPr="000E574D">
        <w:rPr>
          <w:rFonts w:ascii="Tw Cen MT" w:hAnsi="Tw Cen MT"/>
        </w:rPr>
        <w:t xml:space="preserve"> through </w:t>
      </w:r>
      <w:sdt>
        <w:sdtPr>
          <w:rPr>
            <w:rFonts w:ascii="Tw Cen MT" w:hAnsi="Tw Cen MT"/>
          </w:rPr>
          <w:id w:val="-1502892631"/>
          <w:placeholder>
            <w:docPart w:val="A9E7E39C2A6F489692D3212FB103CD15"/>
          </w:placeholder>
        </w:sdtPr>
        <w:sdtContent>
          <w:r w:rsidR="000E574D">
            <w:rPr>
              <w:rFonts w:ascii="Tw Cen MT" w:hAnsi="Tw Cen MT"/>
            </w:rPr>
            <w:t>4</w:t>
          </w:r>
        </w:sdtContent>
      </w:sdt>
      <w:r w:rsidRPr="000E063D">
        <w:rPr>
          <w:rFonts w:ascii="Tw Cen MT" w:hAnsi="Tw Cen MT"/>
        </w:rPr>
        <w:t xml:space="preserve"> grade</w:t>
      </w:r>
      <w:r w:rsidR="0085212A" w:rsidRPr="000E063D">
        <w:rPr>
          <w:rFonts w:ascii="Tw Cen MT" w:hAnsi="Tw Cen MT"/>
        </w:rPr>
        <w:t>s</w:t>
      </w:r>
      <w:r w:rsidRPr="000E063D">
        <w:rPr>
          <w:rFonts w:ascii="Tw Cen MT" w:hAnsi="Tw Cen MT"/>
        </w:rPr>
        <w:t xml:space="preserve"> in spring 2022.  Each student’s raw score has been converted to a grade-specific scaled score and a performance level.  </w:t>
      </w:r>
    </w:p>
    <w:p w14:paraId="2DE303ED" w14:textId="2E476A8C" w:rsidR="001D544B" w:rsidRDefault="001D544B" w:rsidP="001D544B">
      <w:pPr>
        <w:rPr>
          <w:rFonts w:ascii="Tw Cen MT" w:hAnsi="Tw Cen MT"/>
          <w:szCs w:val="23"/>
        </w:rPr>
      </w:pPr>
      <w:r w:rsidRPr="000E063D">
        <w:rPr>
          <w:rFonts w:ascii="Tw Cen MT" w:hAnsi="Tw Cen MT"/>
          <w:szCs w:val="23"/>
        </w:rPr>
        <w:t>The table below summarizes participation information for this year’s test administration.</w:t>
      </w:r>
      <w:r w:rsidRPr="000E063D">
        <w:rPr>
          <w:rFonts w:ascii="Tw Cen MT" w:hAnsi="Tw Cen MT"/>
          <w:szCs w:val="23"/>
          <w:vertAlign w:val="superscript"/>
        </w:rPr>
        <w:t xml:space="preserve">   </w:t>
      </w:r>
      <w:r w:rsidRPr="000E063D">
        <w:rPr>
          <w:rFonts w:ascii="Tw Cen MT" w:hAnsi="Tw Cen MT"/>
          <w:szCs w:val="23"/>
        </w:rPr>
        <w:t xml:space="preserve">The table indicates total enrollment and total number of students tested.  It also provides a detailed breakdown of those students excluded from the exam.  Note that this table includes all students according to grade level, even if they have not enrolled in at least their second year (defined as enrolled by </w:t>
      </w:r>
      <w:proofErr w:type="gramStart"/>
      <w:r w:rsidRPr="000E063D">
        <w:rPr>
          <w:rFonts w:ascii="Tw Cen MT" w:hAnsi="Tw Cen MT"/>
          <w:szCs w:val="23"/>
        </w:rPr>
        <w:t>BEDS day</w:t>
      </w:r>
      <w:proofErr w:type="gramEnd"/>
      <w:r w:rsidRPr="000E063D">
        <w:rPr>
          <w:rFonts w:ascii="Tw Cen MT" w:hAnsi="Tw Cen MT"/>
          <w:szCs w:val="23"/>
        </w:rPr>
        <w:t xml:space="preserve"> of the previous school year).  </w:t>
      </w:r>
    </w:p>
    <w:p w14:paraId="04CF5534" w14:textId="2104654A" w:rsidR="009C0DA2" w:rsidRDefault="009C0DA2" w:rsidP="001D544B">
      <w:pPr>
        <w:rPr>
          <w:rFonts w:ascii="Tw Cen MT" w:hAnsi="Tw Cen MT"/>
          <w:szCs w:val="23"/>
        </w:rPr>
      </w:pPr>
    </w:p>
    <w:p w14:paraId="40AE809B" w14:textId="0188810C" w:rsidR="009C0DA2" w:rsidRDefault="009C0DA2" w:rsidP="001D544B">
      <w:pPr>
        <w:rPr>
          <w:rFonts w:ascii="Tw Cen MT" w:hAnsi="Tw Cen MT"/>
          <w:szCs w:val="23"/>
        </w:rPr>
      </w:pPr>
    </w:p>
    <w:p w14:paraId="6CCB4874" w14:textId="4DA77297" w:rsidR="009C0DA2" w:rsidRDefault="009C0DA2" w:rsidP="001D544B">
      <w:pPr>
        <w:rPr>
          <w:rFonts w:ascii="Tw Cen MT" w:hAnsi="Tw Cen MT"/>
          <w:szCs w:val="23"/>
        </w:rPr>
      </w:pPr>
    </w:p>
    <w:p w14:paraId="2BE3F82D" w14:textId="63B4B0B6" w:rsidR="009C0DA2" w:rsidRDefault="009C0DA2" w:rsidP="001D544B">
      <w:pPr>
        <w:rPr>
          <w:rFonts w:ascii="Tw Cen MT" w:hAnsi="Tw Cen MT"/>
          <w:szCs w:val="23"/>
        </w:rPr>
      </w:pPr>
    </w:p>
    <w:p w14:paraId="25EC1235" w14:textId="6C8337CB" w:rsidR="009C0DA2" w:rsidRDefault="009C0DA2" w:rsidP="001D544B">
      <w:pPr>
        <w:rPr>
          <w:rFonts w:ascii="Tw Cen MT" w:hAnsi="Tw Cen MT"/>
          <w:szCs w:val="23"/>
        </w:rPr>
      </w:pPr>
    </w:p>
    <w:p w14:paraId="01005DF6" w14:textId="77777777" w:rsidR="009C0DA2" w:rsidRPr="000E063D" w:rsidRDefault="009C0DA2" w:rsidP="001D544B">
      <w:pPr>
        <w:rPr>
          <w:rFonts w:ascii="Tw Cen MT" w:hAnsi="Tw Cen MT"/>
          <w:szCs w:val="23"/>
        </w:rPr>
      </w:pPr>
    </w:p>
    <w:p w14:paraId="791A69EB" w14:textId="10FF539B" w:rsidR="001D544B" w:rsidRPr="000E063D" w:rsidRDefault="001D544B" w:rsidP="001D544B">
      <w:pPr>
        <w:pStyle w:val="TableHeader"/>
        <w:rPr>
          <w:rFonts w:ascii="Tw Cen MT" w:hAnsi="Tw Cen MT"/>
        </w:rPr>
      </w:pPr>
      <w:r w:rsidRPr="000E063D">
        <w:rPr>
          <w:rFonts w:ascii="Tw Cen MT" w:hAnsi="Tw Cen MT"/>
        </w:rPr>
        <w:lastRenderedPageBreak/>
        <w:t>20</w:t>
      </w:r>
      <w:r w:rsidR="0085212A" w:rsidRPr="000E063D">
        <w:rPr>
          <w:rFonts w:ascii="Tw Cen MT" w:hAnsi="Tw Cen MT"/>
        </w:rPr>
        <w:t>21</w:t>
      </w:r>
      <w:r w:rsidRPr="000E063D">
        <w:rPr>
          <w:rFonts w:ascii="Tw Cen MT" w:hAnsi="Tw Cen MT"/>
        </w:rPr>
        <w:t>-</w:t>
      </w:r>
      <w:r w:rsidR="0085212A" w:rsidRPr="000E063D">
        <w:rPr>
          <w:rFonts w:ascii="Tw Cen MT" w:hAnsi="Tw Cen MT"/>
        </w:rPr>
        <w:t>22</w:t>
      </w:r>
      <w:r w:rsidRPr="000E063D">
        <w:rPr>
          <w:rFonts w:ascii="Tw Cen MT" w:hAnsi="Tw Cen MT"/>
        </w:rPr>
        <w:t xml:space="preserve"> State English Language Arts Exam</w:t>
      </w:r>
      <w:r w:rsidRPr="000E063D">
        <w:rPr>
          <w:rFonts w:ascii="Tw Cen MT" w:hAnsi="Tw Cen MT"/>
        </w:rPr>
        <w:br/>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895"/>
        <w:gridCol w:w="1161"/>
      </w:tblGrid>
      <w:tr w:rsidR="001D544B" w:rsidRPr="000E063D" w14:paraId="446E5C26" w14:textId="77777777" w:rsidTr="00AD3776">
        <w:trPr>
          <w:jc w:val="center"/>
        </w:trPr>
        <w:tc>
          <w:tcPr>
            <w:tcW w:w="810" w:type="dxa"/>
            <w:vMerge w:val="restart"/>
            <w:vAlign w:val="center"/>
          </w:tcPr>
          <w:p w14:paraId="055E5FE0" w14:textId="77777777" w:rsidR="001D544B" w:rsidRPr="000E063D" w:rsidRDefault="001D544B" w:rsidP="0077425A">
            <w:pPr>
              <w:pStyle w:val="TableText"/>
              <w:rPr>
                <w:rFonts w:ascii="Tw Cen MT" w:hAnsi="Tw Cen MT"/>
              </w:rPr>
            </w:pPr>
            <w:r w:rsidRPr="000E063D">
              <w:rPr>
                <w:rFonts w:ascii="Tw Cen MT" w:hAnsi="Tw Cen MT"/>
              </w:rPr>
              <w:t xml:space="preserve">  Grade</w:t>
            </w:r>
          </w:p>
        </w:tc>
        <w:tc>
          <w:tcPr>
            <w:tcW w:w="990" w:type="dxa"/>
            <w:vMerge w:val="restart"/>
            <w:vAlign w:val="center"/>
          </w:tcPr>
          <w:p w14:paraId="1090BF76" w14:textId="77777777" w:rsidR="001D544B" w:rsidRPr="000E063D" w:rsidRDefault="001D544B" w:rsidP="0077425A">
            <w:pPr>
              <w:pStyle w:val="TableText"/>
              <w:rPr>
                <w:rFonts w:ascii="Tw Cen MT" w:hAnsi="Tw Cen MT"/>
              </w:rPr>
            </w:pPr>
            <w:r w:rsidRPr="000E063D">
              <w:rPr>
                <w:rFonts w:ascii="Tw Cen MT" w:hAnsi="Tw Cen MT"/>
              </w:rPr>
              <w:t>Total Tested</w:t>
            </w:r>
          </w:p>
        </w:tc>
        <w:tc>
          <w:tcPr>
            <w:tcW w:w="3325" w:type="dxa"/>
            <w:gridSpan w:val="4"/>
            <w:vAlign w:val="center"/>
          </w:tcPr>
          <w:p w14:paraId="1C0DD65B" w14:textId="4A8CDA03" w:rsidR="001D544B" w:rsidRPr="000E063D" w:rsidRDefault="001D544B" w:rsidP="0077425A">
            <w:pPr>
              <w:pStyle w:val="TableText"/>
              <w:rPr>
                <w:rFonts w:ascii="Tw Cen MT" w:hAnsi="Tw Cen MT"/>
              </w:rPr>
            </w:pPr>
            <w:r w:rsidRPr="000E063D">
              <w:rPr>
                <w:rFonts w:ascii="Tw Cen MT" w:hAnsi="Tw Cen MT"/>
              </w:rPr>
              <w:t>Not Tested</w:t>
            </w:r>
          </w:p>
        </w:tc>
        <w:tc>
          <w:tcPr>
            <w:tcW w:w="1161" w:type="dxa"/>
            <w:vMerge w:val="restart"/>
            <w:vAlign w:val="center"/>
          </w:tcPr>
          <w:p w14:paraId="59E51548" w14:textId="77777777" w:rsidR="001D544B" w:rsidRPr="000E063D" w:rsidRDefault="001D544B" w:rsidP="0077425A">
            <w:pPr>
              <w:pStyle w:val="TableText"/>
              <w:rPr>
                <w:rFonts w:ascii="Tw Cen MT" w:hAnsi="Tw Cen MT"/>
              </w:rPr>
            </w:pPr>
            <w:r w:rsidRPr="000E063D">
              <w:rPr>
                <w:rFonts w:ascii="Tw Cen MT" w:hAnsi="Tw Cen MT"/>
              </w:rPr>
              <w:t>Total Enrolled</w:t>
            </w:r>
          </w:p>
        </w:tc>
      </w:tr>
      <w:tr w:rsidR="001D544B" w:rsidRPr="000E063D" w14:paraId="4763B053" w14:textId="77777777" w:rsidTr="00AD3776">
        <w:trPr>
          <w:jc w:val="center"/>
        </w:trPr>
        <w:tc>
          <w:tcPr>
            <w:tcW w:w="810" w:type="dxa"/>
            <w:vMerge/>
            <w:vAlign w:val="center"/>
          </w:tcPr>
          <w:p w14:paraId="58D1F458" w14:textId="77777777" w:rsidR="001D544B" w:rsidRPr="000E063D" w:rsidRDefault="001D544B" w:rsidP="0077425A">
            <w:pPr>
              <w:pStyle w:val="TableText"/>
              <w:rPr>
                <w:rFonts w:ascii="Tw Cen MT" w:hAnsi="Tw Cen MT"/>
              </w:rPr>
            </w:pPr>
          </w:p>
        </w:tc>
        <w:tc>
          <w:tcPr>
            <w:tcW w:w="990" w:type="dxa"/>
            <w:vMerge/>
            <w:vAlign w:val="center"/>
          </w:tcPr>
          <w:p w14:paraId="0997CC4F" w14:textId="77777777" w:rsidR="001D544B" w:rsidRPr="000E063D" w:rsidRDefault="001D544B" w:rsidP="0077425A">
            <w:pPr>
              <w:pStyle w:val="TableText"/>
              <w:rPr>
                <w:rFonts w:ascii="Tw Cen MT" w:hAnsi="Tw Cen MT"/>
              </w:rPr>
            </w:pPr>
          </w:p>
        </w:tc>
        <w:tc>
          <w:tcPr>
            <w:tcW w:w="810" w:type="dxa"/>
            <w:vAlign w:val="center"/>
          </w:tcPr>
          <w:p w14:paraId="1F859B3D" w14:textId="77777777" w:rsidR="001D544B" w:rsidRPr="000E063D" w:rsidRDefault="001D544B" w:rsidP="0077425A">
            <w:pPr>
              <w:pStyle w:val="TableText"/>
              <w:rPr>
                <w:rFonts w:ascii="Tw Cen MT" w:hAnsi="Tw Cen MT"/>
              </w:rPr>
            </w:pPr>
            <w:r w:rsidRPr="000E063D">
              <w:rPr>
                <w:rFonts w:ascii="Tw Cen MT" w:hAnsi="Tw Cen MT"/>
              </w:rPr>
              <w:t>IEP</w:t>
            </w:r>
          </w:p>
        </w:tc>
        <w:tc>
          <w:tcPr>
            <w:tcW w:w="810" w:type="dxa"/>
            <w:vAlign w:val="center"/>
          </w:tcPr>
          <w:p w14:paraId="63A130E6" w14:textId="77777777" w:rsidR="001D544B" w:rsidRPr="000E063D" w:rsidRDefault="001D544B" w:rsidP="0077425A">
            <w:pPr>
              <w:pStyle w:val="TableText"/>
              <w:rPr>
                <w:rFonts w:ascii="Tw Cen MT" w:hAnsi="Tw Cen MT"/>
              </w:rPr>
            </w:pPr>
            <w:r w:rsidRPr="000E063D">
              <w:rPr>
                <w:rFonts w:ascii="Tw Cen MT" w:hAnsi="Tw Cen MT"/>
              </w:rPr>
              <w:t>ELL</w:t>
            </w:r>
          </w:p>
        </w:tc>
        <w:tc>
          <w:tcPr>
            <w:tcW w:w="810" w:type="dxa"/>
            <w:vAlign w:val="center"/>
          </w:tcPr>
          <w:p w14:paraId="39DDDB2B" w14:textId="77777777" w:rsidR="001D544B" w:rsidRPr="000E063D" w:rsidRDefault="001D544B" w:rsidP="0077425A">
            <w:pPr>
              <w:pStyle w:val="TableText"/>
              <w:rPr>
                <w:rFonts w:ascii="Tw Cen MT" w:hAnsi="Tw Cen MT"/>
              </w:rPr>
            </w:pPr>
            <w:r w:rsidRPr="000E063D">
              <w:rPr>
                <w:rFonts w:ascii="Tw Cen MT" w:hAnsi="Tw Cen MT"/>
              </w:rPr>
              <w:t>Absent</w:t>
            </w:r>
          </w:p>
        </w:tc>
        <w:tc>
          <w:tcPr>
            <w:tcW w:w="895" w:type="dxa"/>
          </w:tcPr>
          <w:p w14:paraId="0F2DE4E1" w14:textId="6E4D230D" w:rsidR="001D544B" w:rsidRPr="000E063D" w:rsidRDefault="00AD3776" w:rsidP="0077425A">
            <w:pPr>
              <w:pStyle w:val="TableText"/>
              <w:rPr>
                <w:rFonts w:ascii="Tw Cen MT" w:hAnsi="Tw Cen MT"/>
              </w:rPr>
            </w:pPr>
            <w:r w:rsidRPr="000E063D">
              <w:rPr>
                <w:rFonts w:ascii="Tw Cen MT" w:hAnsi="Tw Cen MT"/>
              </w:rPr>
              <w:t>Other reason</w:t>
            </w:r>
          </w:p>
        </w:tc>
        <w:tc>
          <w:tcPr>
            <w:tcW w:w="1161" w:type="dxa"/>
            <w:vMerge/>
            <w:vAlign w:val="center"/>
          </w:tcPr>
          <w:p w14:paraId="6EB2408F" w14:textId="77777777" w:rsidR="001D544B" w:rsidRPr="000E063D" w:rsidRDefault="001D544B" w:rsidP="0077425A">
            <w:pPr>
              <w:pStyle w:val="TableText"/>
              <w:rPr>
                <w:rFonts w:ascii="Tw Cen MT" w:hAnsi="Tw Cen MT"/>
              </w:rPr>
            </w:pPr>
          </w:p>
        </w:tc>
      </w:tr>
      <w:tr w:rsidR="001D544B" w:rsidRPr="000E063D" w14:paraId="75C13B16" w14:textId="77777777" w:rsidTr="00AD3776">
        <w:trPr>
          <w:jc w:val="center"/>
        </w:trPr>
        <w:tc>
          <w:tcPr>
            <w:tcW w:w="810" w:type="dxa"/>
            <w:vAlign w:val="center"/>
          </w:tcPr>
          <w:p w14:paraId="56703C17" w14:textId="77777777" w:rsidR="001D544B" w:rsidRPr="000E063D" w:rsidRDefault="001D544B" w:rsidP="0077425A">
            <w:pPr>
              <w:pStyle w:val="TableText"/>
              <w:rPr>
                <w:rFonts w:ascii="Tw Cen MT" w:hAnsi="Tw Cen MT"/>
              </w:rPr>
            </w:pPr>
            <w:r w:rsidRPr="000E063D">
              <w:rPr>
                <w:rFonts w:ascii="Tw Cen MT" w:hAnsi="Tw Cen MT"/>
              </w:rPr>
              <w:t>3</w:t>
            </w:r>
          </w:p>
        </w:tc>
        <w:tc>
          <w:tcPr>
            <w:tcW w:w="990" w:type="dxa"/>
            <w:vAlign w:val="center"/>
          </w:tcPr>
          <w:p w14:paraId="2ABE1353" w14:textId="07578EBA" w:rsidR="001D544B" w:rsidRPr="000E063D" w:rsidRDefault="00162336" w:rsidP="0077425A">
            <w:pPr>
              <w:pStyle w:val="TableText"/>
              <w:rPr>
                <w:rFonts w:ascii="Tw Cen MT" w:hAnsi="Tw Cen MT"/>
              </w:rPr>
            </w:pPr>
            <w:r w:rsidRPr="000E063D">
              <w:rPr>
                <w:rFonts w:ascii="Tw Cen MT" w:hAnsi="Tw Cen MT"/>
              </w:rPr>
              <w:t>51</w:t>
            </w:r>
          </w:p>
        </w:tc>
        <w:tc>
          <w:tcPr>
            <w:tcW w:w="810" w:type="dxa"/>
            <w:vAlign w:val="center"/>
          </w:tcPr>
          <w:p w14:paraId="58F8303E" w14:textId="57D9D75A" w:rsidR="001D544B" w:rsidRPr="000E063D" w:rsidRDefault="006076C3" w:rsidP="0077425A">
            <w:pPr>
              <w:pStyle w:val="TableText"/>
              <w:rPr>
                <w:rFonts w:ascii="Tw Cen MT" w:hAnsi="Tw Cen MT"/>
              </w:rPr>
            </w:pPr>
            <w:r w:rsidRPr="000E063D">
              <w:rPr>
                <w:rFonts w:ascii="Tw Cen MT" w:hAnsi="Tw Cen MT"/>
              </w:rPr>
              <w:t>0</w:t>
            </w:r>
          </w:p>
        </w:tc>
        <w:tc>
          <w:tcPr>
            <w:tcW w:w="810" w:type="dxa"/>
            <w:vAlign w:val="center"/>
          </w:tcPr>
          <w:p w14:paraId="445F933D" w14:textId="5B278A1C" w:rsidR="001D544B" w:rsidRPr="000E063D" w:rsidRDefault="006076C3" w:rsidP="0077425A">
            <w:pPr>
              <w:pStyle w:val="TableText"/>
              <w:rPr>
                <w:rFonts w:ascii="Tw Cen MT" w:hAnsi="Tw Cen MT"/>
              </w:rPr>
            </w:pPr>
            <w:r w:rsidRPr="000E063D">
              <w:rPr>
                <w:rFonts w:ascii="Tw Cen MT" w:hAnsi="Tw Cen MT"/>
              </w:rPr>
              <w:t>0</w:t>
            </w:r>
          </w:p>
        </w:tc>
        <w:tc>
          <w:tcPr>
            <w:tcW w:w="810" w:type="dxa"/>
            <w:vAlign w:val="center"/>
          </w:tcPr>
          <w:p w14:paraId="21A06766" w14:textId="115F93BF" w:rsidR="001D544B" w:rsidRPr="000E063D" w:rsidRDefault="00162336" w:rsidP="0077425A">
            <w:pPr>
              <w:pStyle w:val="TableText"/>
              <w:rPr>
                <w:rFonts w:ascii="Tw Cen MT" w:hAnsi="Tw Cen MT"/>
              </w:rPr>
            </w:pPr>
            <w:r w:rsidRPr="000E063D">
              <w:rPr>
                <w:rFonts w:ascii="Tw Cen MT" w:hAnsi="Tw Cen MT"/>
              </w:rPr>
              <w:t>2</w:t>
            </w:r>
          </w:p>
        </w:tc>
        <w:tc>
          <w:tcPr>
            <w:tcW w:w="895" w:type="dxa"/>
          </w:tcPr>
          <w:p w14:paraId="21AB7E89" w14:textId="1D7FD09D" w:rsidR="001D544B" w:rsidRPr="000E063D" w:rsidRDefault="00162336" w:rsidP="0077425A">
            <w:pPr>
              <w:pStyle w:val="TableText"/>
              <w:rPr>
                <w:rFonts w:ascii="Tw Cen MT" w:hAnsi="Tw Cen MT"/>
              </w:rPr>
            </w:pPr>
            <w:r w:rsidRPr="000E063D">
              <w:rPr>
                <w:rFonts w:ascii="Tw Cen MT" w:hAnsi="Tw Cen MT"/>
              </w:rPr>
              <w:t>2</w:t>
            </w:r>
          </w:p>
        </w:tc>
        <w:tc>
          <w:tcPr>
            <w:tcW w:w="1161" w:type="dxa"/>
            <w:vAlign w:val="center"/>
          </w:tcPr>
          <w:p w14:paraId="4B221660" w14:textId="6F18E103" w:rsidR="001D544B" w:rsidRPr="000E063D" w:rsidRDefault="006D46D7" w:rsidP="0077425A">
            <w:pPr>
              <w:pStyle w:val="TableText"/>
              <w:rPr>
                <w:rFonts w:ascii="Tw Cen MT" w:hAnsi="Tw Cen MT"/>
              </w:rPr>
            </w:pPr>
            <w:r w:rsidRPr="000E063D">
              <w:rPr>
                <w:rFonts w:ascii="Tw Cen MT" w:hAnsi="Tw Cen MT"/>
              </w:rPr>
              <w:t>55</w:t>
            </w:r>
          </w:p>
        </w:tc>
      </w:tr>
      <w:tr w:rsidR="001D544B" w:rsidRPr="000E063D" w14:paraId="776DD92D" w14:textId="77777777" w:rsidTr="00AD3776">
        <w:trPr>
          <w:jc w:val="center"/>
        </w:trPr>
        <w:tc>
          <w:tcPr>
            <w:tcW w:w="810" w:type="dxa"/>
            <w:vAlign w:val="center"/>
          </w:tcPr>
          <w:p w14:paraId="1104AF82" w14:textId="77777777" w:rsidR="001D544B" w:rsidRPr="000E063D" w:rsidRDefault="001D544B" w:rsidP="0077425A">
            <w:pPr>
              <w:pStyle w:val="TableText"/>
              <w:rPr>
                <w:rFonts w:ascii="Tw Cen MT" w:hAnsi="Tw Cen MT"/>
              </w:rPr>
            </w:pPr>
            <w:r w:rsidRPr="000E063D">
              <w:rPr>
                <w:rFonts w:ascii="Tw Cen MT" w:hAnsi="Tw Cen MT"/>
              </w:rPr>
              <w:t>4</w:t>
            </w:r>
          </w:p>
        </w:tc>
        <w:tc>
          <w:tcPr>
            <w:tcW w:w="990" w:type="dxa"/>
            <w:vAlign w:val="center"/>
          </w:tcPr>
          <w:p w14:paraId="7BCDD315" w14:textId="0FBD87FA" w:rsidR="001D544B" w:rsidRPr="000E063D" w:rsidRDefault="006D46D7" w:rsidP="0077425A">
            <w:pPr>
              <w:pStyle w:val="TableText"/>
              <w:rPr>
                <w:rFonts w:ascii="Tw Cen MT" w:hAnsi="Tw Cen MT"/>
              </w:rPr>
            </w:pPr>
            <w:r w:rsidRPr="000E063D">
              <w:rPr>
                <w:rFonts w:ascii="Tw Cen MT" w:hAnsi="Tw Cen MT"/>
              </w:rPr>
              <w:t>54</w:t>
            </w:r>
          </w:p>
        </w:tc>
        <w:tc>
          <w:tcPr>
            <w:tcW w:w="810" w:type="dxa"/>
            <w:vAlign w:val="center"/>
          </w:tcPr>
          <w:p w14:paraId="2227CA10" w14:textId="16EA3C06" w:rsidR="001D544B" w:rsidRPr="000E063D" w:rsidRDefault="006076C3" w:rsidP="0077425A">
            <w:pPr>
              <w:pStyle w:val="TableText"/>
              <w:rPr>
                <w:rFonts w:ascii="Tw Cen MT" w:hAnsi="Tw Cen MT"/>
              </w:rPr>
            </w:pPr>
            <w:r w:rsidRPr="000E063D">
              <w:rPr>
                <w:rFonts w:ascii="Tw Cen MT" w:hAnsi="Tw Cen MT"/>
              </w:rPr>
              <w:t>0</w:t>
            </w:r>
          </w:p>
        </w:tc>
        <w:tc>
          <w:tcPr>
            <w:tcW w:w="810" w:type="dxa"/>
            <w:vAlign w:val="center"/>
          </w:tcPr>
          <w:p w14:paraId="6B7F7DFC" w14:textId="330D8294" w:rsidR="001D544B" w:rsidRPr="000E063D" w:rsidRDefault="006076C3" w:rsidP="0077425A">
            <w:pPr>
              <w:pStyle w:val="TableText"/>
              <w:rPr>
                <w:rFonts w:ascii="Tw Cen MT" w:hAnsi="Tw Cen MT"/>
              </w:rPr>
            </w:pPr>
            <w:r w:rsidRPr="000E063D">
              <w:rPr>
                <w:rFonts w:ascii="Tw Cen MT" w:hAnsi="Tw Cen MT"/>
              </w:rPr>
              <w:t>0</w:t>
            </w:r>
          </w:p>
        </w:tc>
        <w:tc>
          <w:tcPr>
            <w:tcW w:w="810" w:type="dxa"/>
            <w:vAlign w:val="center"/>
          </w:tcPr>
          <w:p w14:paraId="151112E7" w14:textId="287D2CB3" w:rsidR="001D544B" w:rsidRPr="000E063D" w:rsidRDefault="006D46D7" w:rsidP="0077425A">
            <w:pPr>
              <w:pStyle w:val="TableText"/>
              <w:rPr>
                <w:rFonts w:ascii="Tw Cen MT" w:hAnsi="Tw Cen MT"/>
              </w:rPr>
            </w:pPr>
            <w:r w:rsidRPr="000E063D">
              <w:rPr>
                <w:rFonts w:ascii="Tw Cen MT" w:hAnsi="Tw Cen MT"/>
              </w:rPr>
              <w:t>0</w:t>
            </w:r>
          </w:p>
        </w:tc>
        <w:tc>
          <w:tcPr>
            <w:tcW w:w="895" w:type="dxa"/>
          </w:tcPr>
          <w:p w14:paraId="4B0EE030" w14:textId="65288533" w:rsidR="001D544B" w:rsidRPr="000E063D" w:rsidRDefault="006D46D7" w:rsidP="0077425A">
            <w:pPr>
              <w:pStyle w:val="TableText"/>
              <w:rPr>
                <w:rFonts w:ascii="Tw Cen MT" w:hAnsi="Tw Cen MT"/>
              </w:rPr>
            </w:pPr>
            <w:r w:rsidRPr="000E063D">
              <w:rPr>
                <w:rFonts w:ascii="Tw Cen MT" w:hAnsi="Tw Cen MT"/>
              </w:rPr>
              <w:t>0</w:t>
            </w:r>
          </w:p>
        </w:tc>
        <w:tc>
          <w:tcPr>
            <w:tcW w:w="1161" w:type="dxa"/>
            <w:vAlign w:val="center"/>
          </w:tcPr>
          <w:p w14:paraId="14BB7B17" w14:textId="1022253A" w:rsidR="001D544B" w:rsidRPr="000E063D" w:rsidRDefault="006D46D7" w:rsidP="0077425A">
            <w:pPr>
              <w:pStyle w:val="TableText"/>
              <w:rPr>
                <w:rFonts w:ascii="Tw Cen MT" w:hAnsi="Tw Cen MT"/>
              </w:rPr>
            </w:pPr>
            <w:r w:rsidRPr="000E063D">
              <w:rPr>
                <w:rFonts w:ascii="Tw Cen MT" w:hAnsi="Tw Cen MT"/>
              </w:rPr>
              <w:t>54</w:t>
            </w:r>
          </w:p>
        </w:tc>
      </w:tr>
      <w:tr w:rsidR="001D544B" w:rsidRPr="000E063D" w14:paraId="03CA66A9" w14:textId="77777777" w:rsidTr="007D0746">
        <w:trPr>
          <w:jc w:val="center"/>
        </w:trPr>
        <w:tc>
          <w:tcPr>
            <w:tcW w:w="810" w:type="dxa"/>
            <w:vAlign w:val="center"/>
          </w:tcPr>
          <w:p w14:paraId="4C31798D" w14:textId="77777777" w:rsidR="001D544B" w:rsidRPr="000E063D" w:rsidRDefault="001D544B" w:rsidP="0077425A">
            <w:pPr>
              <w:pStyle w:val="TableText"/>
              <w:rPr>
                <w:rFonts w:ascii="Tw Cen MT" w:hAnsi="Tw Cen MT"/>
              </w:rPr>
            </w:pPr>
            <w:r w:rsidRPr="000E063D">
              <w:rPr>
                <w:rFonts w:ascii="Tw Cen MT" w:hAnsi="Tw Cen MT"/>
              </w:rPr>
              <w:t>5</w:t>
            </w:r>
          </w:p>
        </w:tc>
        <w:tc>
          <w:tcPr>
            <w:tcW w:w="990" w:type="dxa"/>
            <w:shd w:val="clear" w:color="auto" w:fill="000000" w:themeFill="text1"/>
            <w:vAlign w:val="center"/>
          </w:tcPr>
          <w:p w14:paraId="2110E6C6"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2071F786"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4F318EFE"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3B4792C5" w14:textId="77777777" w:rsidR="001D544B" w:rsidRPr="000E063D" w:rsidRDefault="001D544B" w:rsidP="0077425A">
            <w:pPr>
              <w:pStyle w:val="TableText"/>
              <w:rPr>
                <w:rFonts w:ascii="Tw Cen MT" w:hAnsi="Tw Cen MT"/>
              </w:rPr>
            </w:pPr>
          </w:p>
        </w:tc>
        <w:tc>
          <w:tcPr>
            <w:tcW w:w="895" w:type="dxa"/>
            <w:shd w:val="clear" w:color="auto" w:fill="000000" w:themeFill="text1"/>
          </w:tcPr>
          <w:p w14:paraId="43D66A01" w14:textId="77777777" w:rsidR="001D544B" w:rsidRPr="000E063D" w:rsidRDefault="001D544B" w:rsidP="0077425A">
            <w:pPr>
              <w:pStyle w:val="TableText"/>
              <w:rPr>
                <w:rFonts w:ascii="Tw Cen MT" w:hAnsi="Tw Cen MT"/>
              </w:rPr>
            </w:pPr>
          </w:p>
        </w:tc>
        <w:tc>
          <w:tcPr>
            <w:tcW w:w="1161" w:type="dxa"/>
            <w:shd w:val="clear" w:color="auto" w:fill="000000" w:themeFill="text1"/>
            <w:vAlign w:val="center"/>
          </w:tcPr>
          <w:p w14:paraId="13AD8B6C" w14:textId="77777777" w:rsidR="001D544B" w:rsidRPr="000E063D" w:rsidRDefault="001D544B" w:rsidP="0077425A">
            <w:pPr>
              <w:pStyle w:val="TableText"/>
              <w:rPr>
                <w:rFonts w:ascii="Tw Cen MT" w:hAnsi="Tw Cen MT"/>
              </w:rPr>
            </w:pPr>
          </w:p>
        </w:tc>
      </w:tr>
      <w:tr w:rsidR="001D544B" w:rsidRPr="000E063D" w14:paraId="4E8FC0A3" w14:textId="77777777" w:rsidTr="007D0746">
        <w:trPr>
          <w:jc w:val="center"/>
        </w:trPr>
        <w:tc>
          <w:tcPr>
            <w:tcW w:w="810" w:type="dxa"/>
            <w:vAlign w:val="center"/>
          </w:tcPr>
          <w:p w14:paraId="06D10C42" w14:textId="77777777" w:rsidR="001D544B" w:rsidRPr="000E063D" w:rsidRDefault="001D544B" w:rsidP="0077425A">
            <w:pPr>
              <w:pStyle w:val="TableText"/>
              <w:rPr>
                <w:rFonts w:ascii="Tw Cen MT" w:hAnsi="Tw Cen MT"/>
              </w:rPr>
            </w:pPr>
            <w:r w:rsidRPr="000E063D">
              <w:rPr>
                <w:rFonts w:ascii="Tw Cen MT" w:hAnsi="Tw Cen MT"/>
              </w:rPr>
              <w:t>6</w:t>
            </w:r>
          </w:p>
        </w:tc>
        <w:tc>
          <w:tcPr>
            <w:tcW w:w="990" w:type="dxa"/>
            <w:shd w:val="clear" w:color="auto" w:fill="000000" w:themeFill="text1"/>
            <w:vAlign w:val="center"/>
          </w:tcPr>
          <w:p w14:paraId="1CCFEF8F"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70260189"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7D15D4A2"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498B5266" w14:textId="77777777" w:rsidR="001D544B" w:rsidRPr="000E063D" w:rsidRDefault="001D544B" w:rsidP="0077425A">
            <w:pPr>
              <w:pStyle w:val="TableText"/>
              <w:rPr>
                <w:rFonts w:ascii="Tw Cen MT" w:hAnsi="Tw Cen MT"/>
              </w:rPr>
            </w:pPr>
          </w:p>
        </w:tc>
        <w:tc>
          <w:tcPr>
            <w:tcW w:w="895" w:type="dxa"/>
            <w:shd w:val="clear" w:color="auto" w:fill="000000" w:themeFill="text1"/>
          </w:tcPr>
          <w:p w14:paraId="00E4DD2A" w14:textId="77777777" w:rsidR="001D544B" w:rsidRPr="000E063D" w:rsidRDefault="001D544B" w:rsidP="0077425A">
            <w:pPr>
              <w:pStyle w:val="TableText"/>
              <w:rPr>
                <w:rFonts w:ascii="Tw Cen MT" w:hAnsi="Tw Cen MT"/>
              </w:rPr>
            </w:pPr>
          </w:p>
        </w:tc>
        <w:tc>
          <w:tcPr>
            <w:tcW w:w="1161" w:type="dxa"/>
            <w:shd w:val="clear" w:color="auto" w:fill="000000" w:themeFill="text1"/>
            <w:vAlign w:val="center"/>
          </w:tcPr>
          <w:p w14:paraId="67053A05" w14:textId="77777777" w:rsidR="001D544B" w:rsidRPr="000E063D" w:rsidRDefault="001D544B" w:rsidP="0077425A">
            <w:pPr>
              <w:pStyle w:val="TableText"/>
              <w:rPr>
                <w:rFonts w:ascii="Tw Cen MT" w:hAnsi="Tw Cen MT"/>
              </w:rPr>
            </w:pPr>
          </w:p>
        </w:tc>
      </w:tr>
      <w:tr w:rsidR="001D544B" w:rsidRPr="000E063D" w14:paraId="2E080FAB" w14:textId="77777777" w:rsidTr="007D0746">
        <w:trPr>
          <w:jc w:val="center"/>
        </w:trPr>
        <w:tc>
          <w:tcPr>
            <w:tcW w:w="810" w:type="dxa"/>
            <w:vAlign w:val="center"/>
          </w:tcPr>
          <w:p w14:paraId="7BDE04F4" w14:textId="77777777" w:rsidR="001D544B" w:rsidRPr="000E063D" w:rsidRDefault="001D544B" w:rsidP="0077425A">
            <w:pPr>
              <w:pStyle w:val="TableText"/>
              <w:rPr>
                <w:rFonts w:ascii="Tw Cen MT" w:hAnsi="Tw Cen MT"/>
              </w:rPr>
            </w:pPr>
            <w:r w:rsidRPr="000E063D">
              <w:rPr>
                <w:rFonts w:ascii="Tw Cen MT" w:hAnsi="Tw Cen MT"/>
              </w:rPr>
              <w:t>7</w:t>
            </w:r>
          </w:p>
        </w:tc>
        <w:tc>
          <w:tcPr>
            <w:tcW w:w="990" w:type="dxa"/>
            <w:shd w:val="clear" w:color="auto" w:fill="000000" w:themeFill="text1"/>
            <w:vAlign w:val="center"/>
          </w:tcPr>
          <w:p w14:paraId="0F70F962"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7C1BD813"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533D48F0" w14:textId="77777777" w:rsidR="001D544B" w:rsidRPr="000E063D" w:rsidRDefault="001D544B" w:rsidP="0077425A">
            <w:pPr>
              <w:pStyle w:val="TableText"/>
              <w:rPr>
                <w:rFonts w:ascii="Tw Cen MT" w:hAnsi="Tw Cen MT"/>
              </w:rPr>
            </w:pPr>
          </w:p>
        </w:tc>
        <w:tc>
          <w:tcPr>
            <w:tcW w:w="810" w:type="dxa"/>
            <w:shd w:val="clear" w:color="auto" w:fill="000000" w:themeFill="text1"/>
            <w:vAlign w:val="center"/>
          </w:tcPr>
          <w:p w14:paraId="7123F8B9" w14:textId="77777777" w:rsidR="001D544B" w:rsidRPr="000E063D" w:rsidRDefault="001D544B" w:rsidP="0077425A">
            <w:pPr>
              <w:pStyle w:val="TableText"/>
              <w:rPr>
                <w:rFonts w:ascii="Tw Cen MT" w:hAnsi="Tw Cen MT"/>
              </w:rPr>
            </w:pPr>
          </w:p>
        </w:tc>
        <w:tc>
          <w:tcPr>
            <w:tcW w:w="895" w:type="dxa"/>
            <w:shd w:val="clear" w:color="auto" w:fill="000000" w:themeFill="text1"/>
          </w:tcPr>
          <w:p w14:paraId="0C09D3BC" w14:textId="77777777" w:rsidR="001D544B" w:rsidRPr="000E063D" w:rsidRDefault="001D544B" w:rsidP="0077425A">
            <w:pPr>
              <w:pStyle w:val="TableText"/>
              <w:rPr>
                <w:rFonts w:ascii="Tw Cen MT" w:hAnsi="Tw Cen MT"/>
              </w:rPr>
            </w:pPr>
          </w:p>
        </w:tc>
        <w:tc>
          <w:tcPr>
            <w:tcW w:w="1161" w:type="dxa"/>
            <w:shd w:val="clear" w:color="auto" w:fill="000000" w:themeFill="text1"/>
            <w:vAlign w:val="center"/>
          </w:tcPr>
          <w:p w14:paraId="700C96F4" w14:textId="77777777" w:rsidR="001D544B" w:rsidRPr="000E063D" w:rsidRDefault="001D544B" w:rsidP="0077425A">
            <w:pPr>
              <w:pStyle w:val="TableText"/>
              <w:rPr>
                <w:rFonts w:ascii="Tw Cen MT" w:hAnsi="Tw Cen MT"/>
              </w:rPr>
            </w:pPr>
          </w:p>
        </w:tc>
      </w:tr>
      <w:tr w:rsidR="001D544B" w:rsidRPr="000E063D" w14:paraId="277B4B22" w14:textId="77777777" w:rsidTr="007D0746">
        <w:trPr>
          <w:jc w:val="center"/>
        </w:trPr>
        <w:tc>
          <w:tcPr>
            <w:tcW w:w="810" w:type="dxa"/>
            <w:tcBorders>
              <w:bottom w:val="double" w:sz="4" w:space="0" w:color="auto"/>
            </w:tcBorders>
            <w:vAlign w:val="center"/>
          </w:tcPr>
          <w:p w14:paraId="064DE4DF" w14:textId="77777777" w:rsidR="001D544B" w:rsidRPr="000E063D" w:rsidRDefault="001D544B" w:rsidP="0077425A">
            <w:pPr>
              <w:pStyle w:val="TableText"/>
              <w:rPr>
                <w:rFonts w:ascii="Tw Cen MT" w:hAnsi="Tw Cen MT"/>
              </w:rPr>
            </w:pPr>
            <w:r w:rsidRPr="000E063D">
              <w:rPr>
                <w:rFonts w:ascii="Tw Cen MT" w:hAnsi="Tw Cen MT"/>
              </w:rPr>
              <w:t>8</w:t>
            </w:r>
          </w:p>
        </w:tc>
        <w:tc>
          <w:tcPr>
            <w:tcW w:w="990" w:type="dxa"/>
            <w:tcBorders>
              <w:bottom w:val="double" w:sz="4" w:space="0" w:color="auto"/>
            </w:tcBorders>
            <w:shd w:val="clear" w:color="auto" w:fill="000000" w:themeFill="text1"/>
            <w:vAlign w:val="center"/>
          </w:tcPr>
          <w:p w14:paraId="7551F901" w14:textId="77777777" w:rsidR="001D544B" w:rsidRPr="000E063D" w:rsidRDefault="001D544B" w:rsidP="0077425A">
            <w:pPr>
              <w:pStyle w:val="TableText"/>
              <w:rPr>
                <w:rFonts w:ascii="Tw Cen MT" w:hAnsi="Tw Cen MT"/>
              </w:rPr>
            </w:pPr>
          </w:p>
        </w:tc>
        <w:tc>
          <w:tcPr>
            <w:tcW w:w="810" w:type="dxa"/>
            <w:tcBorders>
              <w:bottom w:val="double" w:sz="4" w:space="0" w:color="auto"/>
            </w:tcBorders>
            <w:shd w:val="clear" w:color="auto" w:fill="000000" w:themeFill="text1"/>
            <w:vAlign w:val="center"/>
          </w:tcPr>
          <w:p w14:paraId="64CA8BD4" w14:textId="77777777" w:rsidR="001D544B" w:rsidRPr="000E063D" w:rsidRDefault="001D544B" w:rsidP="0077425A">
            <w:pPr>
              <w:pStyle w:val="TableText"/>
              <w:rPr>
                <w:rFonts w:ascii="Tw Cen MT" w:hAnsi="Tw Cen MT"/>
              </w:rPr>
            </w:pPr>
          </w:p>
        </w:tc>
        <w:tc>
          <w:tcPr>
            <w:tcW w:w="810" w:type="dxa"/>
            <w:tcBorders>
              <w:bottom w:val="double" w:sz="4" w:space="0" w:color="auto"/>
            </w:tcBorders>
            <w:shd w:val="clear" w:color="auto" w:fill="000000" w:themeFill="text1"/>
            <w:vAlign w:val="center"/>
          </w:tcPr>
          <w:p w14:paraId="49633695" w14:textId="77777777" w:rsidR="001D544B" w:rsidRPr="000E063D" w:rsidRDefault="001D544B" w:rsidP="0077425A">
            <w:pPr>
              <w:pStyle w:val="TableText"/>
              <w:rPr>
                <w:rFonts w:ascii="Tw Cen MT" w:hAnsi="Tw Cen MT"/>
              </w:rPr>
            </w:pPr>
          </w:p>
        </w:tc>
        <w:tc>
          <w:tcPr>
            <w:tcW w:w="810" w:type="dxa"/>
            <w:tcBorders>
              <w:bottom w:val="double" w:sz="4" w:space="0" w:color="auto"/>
            </w:tcBorders>
            <w:shd w:val="clear" w:color="auto" w:fill="000000" w:themeFill="text1"/>
            <w:vAlign w:val="center"/>
          </w:tcPr>
          <w:p w14:paraId="7E31C18D" w14:textId="77777777" w:rsidR="001D544B" w:rsidRPr="000E063D" w:rsidRDefault="001D544B" w:rsidP="0077425A">
            <w:pPr>
              <w:pStyle w:val="TableText"/>
              <w:rPr>
                <w:rFonts w:ascii="Tw Cen MT" w:hAnsi="Tw Cen MT"/>
              </w:rPr>
            </w:pPr>
          </w:p>
        </w:tc>
        <w:tc>
          <w:tcPr>
            <w:tcW w:w="895" w:type="dxa"/>
            <w:tcBorders>
              <w:bottom w:val="double" w:sz="4" w:space="0" w:color="auto"/>
            </w:tcBorders>
            <w:shd w:val="clear" w:color="auto" w:fill="000000" w:themeFill="text1"/>
          </w:tcPr>
          <w:p w14:paraId="55DB2CBE" w14:textId="77777777" w:rsidR="001D544B" w:rsidRPr="000E063D" w:rsidRDefault="001D544B" w:rsidP="0077425A">
            <w:pPr>
              <w:pStyle w:val="TableText"/>
              <w:rPr>
                <w:rFonts w:ascii="Tw Cen MT" w:hAnsi="Tw Cen MT"/>
              </w:rPr>
            </w:pPr>
          </w:p>
        </w:tc>
        <w:tc>
          <w:tcPr>
            <w:tcW w:w="1161" w:type="dxa"/>
            <w:tcBorders>
              <w:bottom w:val="double" w:sz="4" w:space="0" w:color="auto"/>
            </w:tcBorders>
            <w:shd w:val="clear" w:color="auto" w:fill="000000" w:themeFill="text1"/>
            <w:vAlign w:val="center"/>
          </w:tcPr>
          <w:p w14:paraId="54504BDD" w14:textId="77777777" w:rsidR="001D544B" w:rsidRPr="000E063D" w:rsidRDefault="001D544B" w:rsidP="0077425A">
            <w:pPr>
              <w:pStyle w:val="TableText"/>
              <w:rPr>
                <w:rFonts w:ascii="Tw Cen MT" w:hAnsi="Tw Cen MT"/>
              </w:rPr>
            </w:pPr>
          </w:p>
        </w:tc>
      </w:tr>
      <w:tr w:rsidR="001D544B" w:rsidRPr="000E063D" w14:paraId="2C0F2713" w14:textId="77777777" w:rsidTr="00AD3776">
        <w:trPr>
          <w:jc w:val="center"/>
        </w:trPr>
        <w:tc>
          <w:tcPr>
            <w:tcW w:w="810" w:type="dxa"/>
            <w:tcBorders>
              <w:top w:val="double" w:sz="4" w:space="0" w:color="auto"/>
              <w:bottom w:val="double" w:sz="4" w:space="0" w:color="auto"/>
            </w:tcBorders>
            <w:vAlign w:val="center"/>
          </w:tcPr>
          <w:p w14:paraId="3FFE15C4" w14:textId="77777777" w:rsidR="001D544B" w:rsidRPr="000E063D" w:rsidRDefault="001D544B" w:rsidP="0077425A">
            <w:pPr>
              <w:pStyle w:val="TableText"/>
              <w:rPr>
                <w:rFonts w:ascii="Tw Cen MT" w:hAnsi="Tw Cen MT"/>
              </w:rPr>
            </w:pPr>
            <w:r w:rsidRPr="000E063D">
              <w:rPr>
                <w:rFonts w:ascii="Tw Cen MT" w:hAnsi="Tw Cen MT"/>
              </w:rPr>
              <w:t>All</w:t>
            </w:r>
          </w:p>
        </w:tc>
        <w:tc>
          <w:tcPr>
            <w:tcW w:w="990" w:type="dxa"/>
            <w:tcBorders>
              <w:top w:val="double" w:sz="4" w:space="0" w:color="auto"/>
              <w:bottom w:val="double" w:sz="4" w:space="0" w:color="auto"/>
            </w:tcBorders>
            <w:vAlign w:val="center"/>
          </w:tcPr>
          <w:p w14:paraId="1195E5CF" w14:textId="258B0047" w:rsidR="001D544B" w:rsidRPr="000E063D" w:rsidRDefault="006D46D7" w:rsidP="0077425A">
            <w:pPr>
              <w:pStyle w:val="TableText"/>
              <w:rPr>
                <w:rFonts w:ascii="Tw Cen MT" w:hAnsi="Tw Cen MT"/>
              </w:rPr>
            </w:pPr>
            <w:r w:rsidRPr="000E063D">
              <w:rPr>
                <w:rFonts w:ascii="Tw Cen MT" w:hAnsi="Tw Cen MT"/>
              </w:rPr>
              <w:t>105</w:t>
            </w:r>
          </w:p>
        </w:tc>
        <w:tc>
          <w:tcPr>
            <w:tcW w:w="810" w:type="dxa"/>
            <w:tcBorders>
              <w:top w:val="double" w:sz="4" w:space="0" w:color="auto"/>
              <w:bottom w:val="double" w:sz="4" w:space="0" w:color="auto"/>
            </w:tcBorders>
            <w:vAlign w:val="center"/>
          </w:tcPr>
          <w:p w14:paraId="3E9DF55D" w14:textId="609666C7" w:rsidR="001D544B" w:rsidRPr="000E063D" w:rsidRDefault="006D46D7" w:rsidP="0077425A">
            <w:pPr>
              <w:pStyle w:val="TableText"/>
              <w:rPr>
                <w:rFonts w:ascii="Tw Cen MT" w:hAnsi="Tw Cen MT"/>
              </w:rPr>
            </w:pPr>
            <w:r w:rsidRPr="000E063D">
              <w:rPr>
                <w:rFonts w:ascii="Tw Cen MT" w:hAnsi="Tw Cen MT"/>
              </w:rPr>
              <w:t>0</w:t>
            </w:r>
          </w:p>
        </w:tc>
        <w:tc>
          <w:tcPr>
            <w:tcW w:w="810" w:type="dxa"/>
            <w:tcBorders>
              <w:top w:val="double" w:sz="4" w:space="0" w:color="auto"/>
              <w:bottom w:val="double" w:sz="4" w:space="0" w:color="auto"/>
            </w:tcBorders>
            <w:vAlign w:val="center"/>
          </w:tcPr>
          <w:p w14:paraId="4CDACF58" w14:textId="04F1C8F9" w:rsidR="001D544B" w:rsidRPr="000E063D" w:rsidRDefault="006D46D7" w:rsidP="0077425A">
            <w:pPr>
              <w:pStyle w:val="TableText"/>
              <w:rPr>
                <w:rFonts w:ascii="Tw Cen MT" w:hAnsi="Tw Cen MT"/>
              </w:rPr>
            </w:pPr>
            <w:r w:rsidRPr="000E063D">
              <w:rPr>
                <w:rFonts w:ascii="Tw Cen MT" w:hAnsi="Tw Cen MT"/>
              </w:rPr>
              <w:t>0</w:t>
            </w:r>
          </w:p>
        </w:tc>
        <w:tc>
          <w:tcPr>
            <w:tcW w:w="810" w:type="dxa"/>
            <w:tcBorders>
              <w:top w:val="double" w:sz="4" w:space="0" w:color="auto"/>
              <w:bottom w:val="double" w:sz="4" w:space="0" w:color="auto"/>
            </w:tcBorders>
            <w:vAlign w:val="center"/>
          </w:tcPr>
          <w:p w14:paraId="015145A7" w14:textId="4AB7A26B" w:rsidR="001D544B" w:rsidRPr="000E063D" w:rsidRDefault="006D46D7" w:rsidP="0077425A">
            <w:pPr>
              <w:pStyle w:val="TableText"/>
              <w:rPr>
                <w:rFonts w:ascii="Tw Cen MT" w:hAnsi="Tw Cen MT"/>
              </w:rPr>
            </w:pPr>
            <w:r w:rsidRPr="000E063D">
              <w:rPr>
                <w:rFonts w:ascii="Tw Cen MT" w:hAnsi="Tw Cen MT"/>
              </w:rPr>
              <w:t>2</w:t>
            </w:r>
          </w:p>
        </w:tc>
        <w:tc>
          <w:tcPr>
            <w:tcW w:w="895" w:type="dxa"/>
            <w:tcBorders>
              <w:top w:val="double" w:sz="4" w:space="0" w:color="auto"/>
              <w:bottom w:val="double" w:sz="4" w:space="0" w:color="auto"/>
            </w:tcBorders>
          </w:tcPr>
          <w:p w14:paraId="25E9D39D" w14:textId="01DEB1ED" w:rsidR="001D544B" w:rsidRPr="000E063D" w:rsidRDefault="006D46D7" w:rsidP="0077425A">
            <w:pPr>
              <w:pStyle w:val="TableText"/>
              <w:rPr>
                <w:rFonts w:ascii="Tw Cen MT" w:hAnsi="Tw Cen MT"/>
              </w:rPr>
            </w:pPr>
            <w:r w:rsidRPr="000E063D">
              <w:rPr>
                <w:rFonts w:ascii="Tw Cen MT" w:hAnsi="Tw Cen MT"/>
              </w:rPr>
              <w:t>2</w:t>
            </w:r>
          </w:p>
        </w:tc>
        <w:tc>
          <w:tcPr>
            <w:tcW w:w="1161" w:type="dxa"/>
            <w:tcBorders>
              <w:top w:val="double" w:sz="4" w:space="0" w:color="auto"/>
              <w:bottom w:val="double" w:sz="4" w:space="0" w:color="auto"/>
            </w:tcBorders>
            <w:vAlign w:val="center"/>
          </w:tcPr>
          <w:p w14:paraId="1667ED81" w14:textId="66C2EB0F" w:rsidR="001D544B" w:rsidRPr="000E063D" w:rsidRDefault="006D46D7" w:rsidP="0077425A">
            <w:pPr>
              <w:pStyle w:val="TableText"/>
              <w:rPr>
                <w:rFonts w:ascii="Tw Cen MT" w:hAnsi="Tw Cen MT"/>
              </w:rPr>
            </w:pPr>
            <w:r w:rsidRPr="000E063D">
              <w:rPr>
                <w:rFonts w:ascii="Tw Cen MT" w:hAnsi="Tw Cen MT"/>
              </w:rPr>
              <w:t>109</w:t>
            </w:r>
          </w:p>
        </w:tc>
      </w:tr>
    </w:tbl>
    <w:p w14:paraId="5C5ABE62" w14:textId="77777777" w:rsidR="001D544B" w:rsidRPr="000E063D" w:rsidRDefault="001D544B" w:rsidP="001D544B">
      <w:pPr>
        <w:pStyle w:val="Heading2"/>
        <w:rPr>
          <w:rFonts w:ascii="Tw Cen MT" w:hAnsi="Tw Cen MT"/>
        </w:rPr>
      </w:pPr>
      <w:r w:rsidRPr="000E063D">
        <w:rPr>
          <w:rFonts w:ascii="Tw Cen MT" w:hAnsi="Tw Cen MT"/>
        </w:rPr>
        <w:t>Results and evaluation</w:t>
      </w:r>
    </w:p>
    <w:p w14:paraId="3C770656" w14:textId="3A7009FC" w:rsidR="00E32C77" w:rsidRDefault="00F01E22" w:rsidP="00557348">
      <w:pPr>
        <w:jc w:val="both"/>
        <w:rPr>
          <w:rFonts w:ascii="Tw Cen MT" w:hAnsi="Tw Cen MT"/>
          <w:szCs w:val="23"/>
          <w:highlight w:val="lightGray"/>
        </w:rPr>
      </w:pPr>
      <w:r w:rsidRPr="007F6234">
        <w:rPr>
          <w:rFonts w:ascii="Tw Cen MT" w:hAnsi="Tw Cen MT"/>
          <w:szCs w:val="23"/>
        </w:rPr>
        <w:t>As a school that only just completed its fourth year of operation, this was our first year that scholars sat the full state assessment</w:t>
      </w:r>
      <w:r w:rsidR="006A289C" w:rsidRPr="007F6234">
        <w:rPr>
          <w:rFonts w:ascii="Tw Cen MT" w:hAnsi="Tw Cen MT"/>
          <w:szCs w:val="23"/>
        </w:rPr>
        <w:t xml:space="preserve"> in ELA.  Given the tumultuous learning environment over the past two years, and the unfinished learning created by COVID-19, our scholars were far from meeting our ELA proficiency goals. </w:t>
      </w:r>
      <w:r w:rsidR="007F6234">
        <w:rPr>
          <w:rFonts w:ascii="Tw Cen MT" w:hAnsi="Tw Cen MT"/>
          <w:szCs w:val="23"/>
        </w:rPr>
        <w:t xml:space="preserve"> The scholars in 3</w:t>
      </w:r>
      <w:r w:rsidR="007F6234" w:rsidRPr="007F6234">
        <w:rPr>
          <w:rFonts w:ascii="Tw Cen MT" w:hAnsi="Tw Cen MT"/>
          <w:szCs w:val="23"/>
          <w:vertAlign w:val="superscript"/>
        </w:rPr>
        <w:t>rd</w:t>
      </w:r>
      <w:r w:rsidR="007F6234">
        <w:rPr>
          <w:rFonts w:ascii="Tw Cen MT" w:hAnsi="Tw Cen MT"/>
          <w:szCs w:val="23"/>
        </w:rPr>
        <w:t xml:space="preserve"> and 4</w:t>
      </w:r>
      <w:r w:rsidR="007F6234" w:rsidRPr="007F6234">
        <w:rPr>
          <w:rFonts w:ascii="Tw Cen MT" w:hAnsi="Tw Cen MT"/>
          <w:szCs w:val="23"/>
          <w:vertAlign w:val="superscript"/>
        </w:rPr>
        <w:t>th</w:t>
      </w:r>
      <w:r w:rsidR="007F6234">
        <w:rPr>
          <w:rFonts w:ascii="Tw Cen MT" w:hAnsi="Tw Cen MT"/>
          <w:szCs w:val="23"/>
        </w:rPr>
        <w:t xml:space="preserve"> grade are our founding scholars, majority of whom have been with us since our inception.  Over the course of their time with us, we have made significant improvements to our academic program</w:t>
      </w:r>
      <w:r w:rsidR="00535DBF">
        <w:rPr>
          <w:rFonts w:ascii="Tw Cen MT" w:hAnsi="Tw Cen MT"/>
          <w:szCs w:val="23"/>
        </w:rPr>
        <w:t xml:space="preserve"> that are impacting </w:t>
      </w:r>
      <w:proofErr w:type="gramStart"/>
      <w:r w:rsidR="00535DBF">
        <w:rPr>
          <w:rFonts w:ascii="Tw Cen MT" w:hAnsi="Tw Cen MT"/>
          <w:szCs w:val="23"/>
        </w:rPr>
        <w:t>positive growth</w:t>
      </w:r>
      <w:proofErr w:type="gramEnd"/>
      <w:r w:rsidR="00535DBF">
        <w:rPr>
          <w:rFonts w:ascii="Tw Cen MT" w:hAnsi="Tw Cen MT"/>
          <w:szCs w:val="23"/>
        </w:rPr>
        <w:t>.  We see the greatest evidence of this in their NWEA MAP scores (provided below)</w:t>
      </w:r>
      <w:r w:rsidR="00FB7800">
        <w:rPr>
          <w:rFonts w:ascii="Tw Cen MT" w:hAnsi="Tw Cen MT"/>
          <w:szCs w:val="23"/>
        </w:rPr>
        <w:t xml:space="preserve"> and know that our shifts and changes are helping close the wide academic gaps that exist.  We are far from pleased with our absolute results on the state assessment this </w:t>
      </w:r>
      <w:proofErr w:type="gramStart"/>
      <w:r w:rsidR="00FB7800">
        <w:rPr>
          <w:rFonts w:ascii="Tw Cen MT" w:hAnsi="Tw Cen MT"/>
          <w:szCs w:val="23"/>
        </w:rPr>
        <w:t>year, but</w:t>
      </w:r>
      <w:proofErr w:type="gramEnd"/>
      <w:r w:rsidR="00FB7800">
        <w:rPr>
          <w:rFonts w:ascii="Tw Cen MT" w:hAnsi="Tw Cen MT"/>
          <w:szCs w:val="23"/>
        </w:rPr>
        <w:t xml:space="preserve"> remain confident in the shifts we are making in our academic program.  </w:t>
      </w:r>
      <w:r w:rsidR="00076676">
        <w:rPr>
          <w:rFonts w:ascii="Tw Cen MT" w:hAnsi="Tw Cen MT"/>
          <w:szCs w:val="23"/>
        </w:rPr>
        <w:t xml:space="preserve">We also see promise in </w:t>
      </w:r>
      <w:proofErr w:type="gramStart"/>
      <w:r w:rsidR="00076676">
        <w:rPr>
          <w:rFonts w:ascii="Tw Cen MT" w:hAnsi="Tw Cen MT"/>
          <w:szCs w:val="23"/>
        </w:rPr>
        <w:t>the our</w:t>
      </w:r>
      <w:proofErr w:type="gramEnd"/>
      <w:r w:rsidR="00076676">
        <w:rPr>
          <w:rFonts w:ascii="Tw Cen MT" w:hAnsi="Tw Cen MT"/>
          <w:szCs w:val="23"/>
        </w:rPr>
        <w:t xml:space="preserve"> 3</w:t>
      </w:r>
      <w:r w:rsidR="00076676" w:rsidRPr="00076676">
        <w:rPr>
          <w:rFonts w:ascii="Tw Cen MT" w:hAnsi="Tw Cen MT"/>
          <w:szCs w:val="23"/>
          <w:vertAlign w:val="superscript"/>
        </w:rPr>
        <w:t>rd</w:t>
      </w:r>
      <w:r w:rsidR="00076676">
        <w:rPr>
          <w:rFonts w:ascii="Tw Cen MT" w:hAnsi="Tw Cen MT"/>
          <w:szCs w:val="23"/>
        </w:rPr>
        <w:t xml:space="preserve"> grade ELA scores </w:t>
      </w:r>
      <w:r w:rsidR="008E4490">
        <w:rPr>
          <w:rFonts w:ascii="Tw Cen MT" w:hAnsi="Tw Cen MT"/>
          <w:szCs w:val="23"/>
        </w:rPr>
        <w:t xml:space="preserve">with 45% of scholars testing at a level 2- just a few points shy of proficiency.  We will continue to implement </w:t>
      </w:r>
      <w:r w:rsidR="00557348">
        <w:rPr>
          <w:rFonts w:ascii="Tw Cen MT" w:hAnsi="Tw Cen MT"/>
          <w:szCs w:val="23"/>
        </w:rPr>
        <w:t xml:space="preserve">our ELA program with fidelity and expect to see a significant increase in scores in the year ahead. </w:t>
      </w:r>
      <w:r w:rsidR="008250F1">
        <w:rPr>
          <w:rFonts w:ascii="Tw Cen MT" w:hAnsi="Tw Cen MT"/>
          <w:szCs w:val="23"/>
        </w:rPr>
        <w:t xml:space="preserve"> </w:t>
      </w:r>
    </w:p>
    <w:p w14:paraId="4F87D1C6" w14:textId="77777777" w:rsidR="001D544B" w:rsidRPr="000E063D" w:rsidRDefault="001D544B" w:rsidP="001D544B">
      <w:pPr>
        <w:rPr>
          <w:rFonts w:ascii="Tw Cen MT" w:hAnsi="Tw Cen MT"/>
          <w:szCs w:val="23"/>
        </w:rPr>
      </w:pPr>
    </w:p>
    <w:p w14:paraId="28877385" w14:textId="0012A0F9" w:rsidR="001D544B" w:rsidRPr="000E063D" w:rsidRDefault="001D544B" w:rsidP="001D544B">
      <w:pPr>
        <w:pStyle w:val="TableHeader"/>
        <w:rPr>
          <w:rFonts w:ascii="Tw Cen MT" w:hAnsi="Tw Cen MT"/>
        </w:rPr>
      </w:pPr>
      <w:r w:rsidRPr="000E063D">
        <w:rPr>
          <w:rFonts w:ascii="Tw Cen MT" w:hAnsi="Tw Cen MT"/>
        </w:rPr>
        <w:t>Performance on 20</w:t>
      </w:r>
      <w:r w:rsidR="00AD3776" w:rsidRPr="000E063D">
        <w:rPr>
          <w:rFonts w:ascii="Tw Cen MT" w:hAnsi="Tw Cen MT"/>
        </w:rPr>
        <w:t>21</w:t>
      </w:r>
      <w:r w:rsidRPr="000E063D">
        <w:rPr>
          <w:rFonts w:ascii="Tw Cen MT" w:hAnsi="Tw Cen MT"/>
        </w:rPr>
        <w:t>-</w:t>
      </w:r>
      <w:r w:rsidR="00AD3776" w:rsidRPr="000E063D">
        <w:rPr>
          <w:rFonts w:ascii="Tw Cen MT" w:hAnsi="Tw Cen MT"/>
        </w:rPr>
        <w:t>22</w:t>
      </w:r>
      <w:r w:rsidRPr="000E063D">
        <w:rPr>
          <w:rFonts w:ascii="Tw Cen MT" w:hAnsi="Tw Cen MT"/>
        </w:rPr>
        <w:t xml:space="preserve"> State English Language Arts Exam</w:t>
      </w:r>
    </w:p>
    <w:p w14:paraId="6F677FF1" w14:textId="77777777" w:rsidR="001D544B" w:rsidRPr="000E063D" w:rsidRDefault="001D544B" w:rsidP="001D544B">
      <w:pPr>
        <w:pStyle w:val="TableHeader"/>
        <w:rPr>
          <w:rFonts w:ascii="Tw Cen MT" w:hAnsi="Tw Cen MT"/>
        </w:rPr>
      </w:pPr>
      <w:r w:rsidRPr="000E063D">
        <w:rPr>
          <w:rFonts w:ascii="Tw Cen MT" w:hAnsi="Tw Cen MT"/>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tblGrid>
      <w:tr w:rsidR="001D544B" w:rsidRPr="000E063D" w14:paraId="2437C836" w14:textId="77777777" w:rsidTr="0077425A">
        <w:trPr>
          <w:cantSplit/>
          <w:trHeight w:val="611"/>
          <w:jc w:val="center"/>
        </w:trPr>
        <w:tc>
          <w:tcPr>
            <w:tcW w:w="827" w:type="dxa"/>
            <w:vMerge w:val="restart"/>
            <w:vAlign w:val="center"/>
          </w:tcPr>
          <w:p w14:paraId="70A43D74" w14:textId="77777777" w:rsidR="001D544B" w:rsidRPr="000E063D" w:rsidRDefault="001D544B" w:rsidP="0077425A">
            <w:pPr>
              <w:pStyle w:val="TableText"/>
              <w:rPr>
                <w:rFonts w:ascii="Tw Cen MT" w:hAnsi="Tw Cen MT"/>
              </w:rPr>
            </w:pPr>
            <w:r w:rsidRPr="000E063D">
              <w:rPr>
                <w:rFonts w:ascii="Tw Cen MT" w:hAnsi="Tw Cen MT"/>
              </w:rPr>
              <w:t>Grades</w:t>
            </w:r>
          </w:p>
        </w:tc>
        <w:tc>
          <w:tcPr>
            <w:tcW w:w="2827" w:type="dxa"/>
            <w:gridSpan w:val="2"/>
            <w:vAlign w:val="center"/>
          </w:tcPr>
          <w:p w14:paraId="67D6838C" w14:textId="77777777" w:rsidR="001D544B" w:rsidRPr="000E063D" w:rsidRDefault="001D544B" w:rsidP="0077425A">
            <w:pPr>
              <w:pStyle w:val="TableText"/>
              <w:rPr>
                <w:rFonts w:ascii="Tw Cen MT" w:hAnsi="Tw Cen MT"/>
              </w:rPr>
            </w:pPr>
            <w:r w:rsidRPr="000E063D">
              <w:rPr>
                <w:rFonts w:ascii="Tw Cen MT" w:hAnsi="Tw Cen MT"/>
              </w:rPr>
              <w:t xml:space="preserve">All Students  </w:t>
            </w:r>
          </w:p>
        </w:tc>
        <w:tc>
          <w:tcPr>
            <w:tcW w:w="2573" w:type="dxa"/>
            <w:gridSpan w:val="2"/>
            <w:vAlign w:val="center"/>
          </w:tcPr>
          <w:p w14:paraId="2B818E2B" w14:textId="77777777" w:rsidR="001D544B" w:rsidRPr="000E063D" w:rsidRDefault="001D544B" w:rsidP="0077425A">
            <w:pPr>
              <w:pStyle w:val="TableText"/>
              <w:rPr>
                <w:rFonts w:ascii="Tw Cen MT" w:hAnsi="Tw Cen MT"/>
              </w:rPr>
            </w:pPr>
            <w:r w:rsidRPr="000E063D">
              <w:rPr>
                <w:rFonts w:ascii="Tw Cen MT" w:hAnsi="Tw Cen MT"/>
              </w:rPr>
              <w:t>Enrolled in at least their Second Year</w:t>
            </w:r>
          </w:p>
        </w:tc>
      </w:tr>
      <w:tr w:rsidR="001D544B" w:rsidRPr="000E063D" w14:paraId="636D07A8" w14:textId="77777777" w:rsidTr="00AD3776">
        <w:trPr>
          <w:cantSplit/>
          <w:trHeight w:val="611"/>
          <w:jc w:val="center"/>
        </w:trPr>
        <w:tc>
          <w:tcPr>
            <w:tcW w:w="827" w:type="dxa"/>
            <w:vMerge/>
            <w:vAlign w:val="center"/>
          </w:tcPr>
          <w:p w14:paraId="0B088920" w14:textId="77777777" w:rsidR="001D544B" w:rsidRPr="000E063D" w:rsidRDefault="001D544B" w:rsidP="0077425A">
            <w:pPr>
              <w:pStyle w:val="TableText"/>
              <w:rPr>
                <w:rFonts w:ascii="Tw Cen MT" w:hAnsi="Tw Cen MT"/>
              </w:rPr>
            </w:pPr>
          </w:p>
        </w:tc>
        <w:tc>
          <w:tcPr>
            <w:tcW w:w="1418" w:type="dxa"/>
            <w:vAlign w:val="center"/>
          </w:tcPr>
          <w:p w14:paraId="61814B5E" w14:textId="2E637974" w:rsidR="001D544B" w:rsidRPr="000E063D" w:rsidRDefault="002A1AB2" w:rsidP="0077425A">
            <w:pPr>
              <w:pStyle w:val="TableText"/>
              <w:rPr>
                <w:rFonts w:ascii="Tw Cen MT" w:hAnsi="Tw Cen MT"/>
              </w:rPr>
            </w:pPr>
            <w:r w:rsidRPr="000E063D">
              <w:rPr>
                <w:rFonts w:ascii="Tw Cen MT" w:hAnsi="Tw Cen MT"/>
              </w:rPr>
              <w:t>Percent Proficient</w:t>
            </w:r>
          </w:p>
        </w:tc>
        <w:tc>
          <w:tcPr>
            <w:tcW w:w="1409" w:type="dxa"/>
            <w:vAlign w:val="center"/>
          </w:tcPr>
          <w:p w14:paraId="6DAE56AE" w14:textId="6EE63E37" w:rsidR="001D544B" w:rsidRPr="000E063D" w:rsidRDefault="002A1AB2" w:rsidP="0077425A">
            <w:pPr>
              <w:pStyle w:val="TableText"/>
              <w:rPr>
                <w:rFonts w:ascii="Tw Cen MT" w:hAnsi="Tw Cen MT"/>
              </w:rPr>
            </w:pPr>
            <w:r w:rsidRPr="000E063D">
              <w:rPr>
                <w:rFonts w:ascii="Tw Cen MT" w:hAnsi="Tw Cen MT"/>
              </w:rPr>
              <w:t>Number Tested</w:t>
            </w:r>
          </w:p>
        </w:tc>
        <w:tc>
          <w:tcPr>
            <w:tcW w:w="1223" w:type="dxa"/>
            <w:vAlign w:val="center"/>
          </w:tcPr>
          <w:p w14:paraId="544043C6" w14:textId="2F9145C7" w:rsidR="001D544B" w:rsidRPr="000E063D" w:rsidRDefault="002A1AB2" w:rsidP="0077425A">
            <w:pPr>
              <w:pStyle w:val="TableText"/>
              <w:rPr>
                <w:rFonts w:ascii="Tw Cen MT" w:hAnsi="Tw Cen MT"/>
              </w:rPr>
            </w:pPr>
            <w:r w:rsidRPr="000E063D">
              <w:rPr>
                <w:rFonts w:ascii="Tw Cen MT" w:hAnsi="Tw Cen MT"/>
              </w:rPr>
              <w:t>Percent Proficient</w:t>
            </w:r>
          </w:p>
        </w:tc>
        <w:tc>
          <w:tcPr>
            <w:tcW w:w="1350" w:type="dxa"/>
            <w:vAlign w:val="center"/>
          </w:tcPr>
          <w:p w14:paraId="627952DE" w14:textId="3C967733" w:rsidR="001D544B" w:rsidRPr="000E063D" w:rsidRDefault="002A1AB2" w:rsidP="0077425A">
            <w:pPr>
              <w:pStyle w:val="TableText"/>
              <w:rPr>
                <w:rFonts w:ascii="Tw Cen MT" w:hAnsi="Tw Cen MT"/>
              </w:rPr>
            </w:pPr>
            <w:r w:rsidRPr="000E063D">
              <w:rPr>
                <w:rFonts w:ascii="Tw Cen MT" w:hAnsi="Tw Cen MT"/>
              </w:rPr>
              <w:t>Number Tested</w:t>
            </w:r>
          </w:p>
        </w:tc>
      </w:tr>
      <w:tr w:rsidR="001D544B" w:rsidRPr="000E063D" w14:paraId="45048CB5" w14:textId="77777777" w:rsidTr="00AD3776">
        <w:trPr>
          <w:cantSplit/>
          <w:trHeight w:val="305"/>
          <w:jc w:val="center"/>
        </w:trPr>
        <w:tc>
          <w:tcPr>
            <w:tcW w:w="827" w:type="dxa"/>
            <w:tcBorders>
              <w:bottom w:val="single" w:sz="4" w:space="0" w:color="auto"/>
            </w:tcBorders>
            <w:vAlign w:val="center"/>
          </w:tcPr>
          <w:p w14:paraId="68CB9F48" w14:textId="77777777" w:rsidR="001D544B" w:rsidRPr="000E063D" w:rsidRDefault="001D544B" w:rsidP="0077425A">
            <w:pPr>
              <w:pStyle w:val="TableText"/>
              <w:rPr>
                <w:rFonts w:ascii="Tw Cen MT" w:hAnsi="Tw Cen MT"/>
              </w:rPr>
            </w:pPr>
            <w:r w:rsidRPr="000E063D">
              <w:rPr>
                <w:rFonts w:ascii="Tw Cen MT" w:hAnsi="Tw Cen MT"/>
              </w:rPr>
              <w:t>3</w:t>
            </w:r>
          </w:p>
        </w:tc>
        <w:tc>
          <w:tcPr>
            <w:tcW w:w="1418" w:type="dxa"/>
            <w:tcBorders>
              <w:bottom w:val="single" w:sz="4" w:space="0" w:color="auto"/>
            </w:tcBorders>
            <w:vAlign w:val="center"/>
          </w:tcPr>
          <w:p w14:paraId="66AA7288" w14:textId="47815F25" w:rsidR="001D544B" w:rsidRPr="000E063D" w:rsidRDefault="00642F92" w:rsidP="0077425A">
            <w:pPr>
              <w:pStyle w:val="TableText"/>
              <w:rPr>
                <w:rFonts w:ascii="Tw Cen MT" w:hAnsi="Tw Cen MT"/>
              </w:rPr>
            </w:pPr>
            <w:r w:rsidRPr="000E063D">
              <w:rPr>
                <w:rFonts w:ascii="Tw Cen MT" w:hAnsi="Tw Cen MT"/>
              </w:rPr>
              <w:t>12%</w:t>
            </w:r>
          </w:p>
        </w:tc>
        <w:tc>
          <w:tcPr>
            <w:tcW w:w="1409" w:type="dxa"/>
            <w:vAlign w:val="center"/>
          </w:tcPr>
          <w:p w14:paraId="33F8C265" w14:textId="66FBA6A8" w:rsidR="001D544B" w:rsidRPr="000E063D" w:rsidRDefault="0075684B" w:rsidP="0077425A">
            <w:pPr>
              <w:pStyle w:val="TableText"/>
              <w:rPr>
                <w:rFonts w:ascii="Tw Cen MT" w:hAnsi="Tw Cen MT"/>
              </w:rPr>
            </w:pPr>
            <w:r w:rsidRPr="000E063D">
              <w:rPr>
                <w:rFonts w:ascii="Tw Cen MT" w:hAnsi="Tw Cen MT"/>
              </w:rPr>
              <w:t>51</w:t>
            </w:r>
          </w:p>
        </w:tc>
        <w:tc>
          <w:tcPr>
            <w:tcW w:w="1223" w:type="dxa"/>
            <w:vAlign w:val="center"/>
          </w:tcPr>
          <w:p w14:paraId="69466140" w14:textId="3B40F05E" w:rsidR="001D544B" w:rsidRPr="000E063D" w:rsidRDefault="00B90252" w:rsidP="0077425A">
            <w:pPr>
              <w:pStyle w:val="TableText"/>
              <w:rPr>
                <w:rFonts w:ascii="Tw Cen MT" w:hAnsi="Tw Cen MT"/>
              </w:rPr>
            </w:pPr>
            <w:r w:rsidRPr="000E063D">
              <w:rPr>
                <w:rFonts w:ascii="Tw Cen MT" w:hAnsi="Tw Cen MT"/>
              </w:rPr>
              <w:t>12%</w:t>
            </w:r>
          </w:p>
        </w:tc>
        <w:tc>
          <w:tcPr>
            <w:tcW w:w="1350" w:type="dxa"/>
            <w:tcBorders>
              <w:bottom w:val="single" w:sz="4" w:space="0" w:color="auto"/>
            </w:tcBorders>
            <w:vAlign w:val="center"/>
          </w:tcPr>
          <w:p w14:paraId="4C0DB5CE" w14:textId="22E8B171" w:rsidR="001D544B" w:rsidRPr="000E063D" w:rsidRDefault="00DE73AE" w:rsidP="0077425A">
            <w:pPr>
              <w:pStyle w:val="TableText"/>
              <w:rPr>
                <w:rFonts w:ascii="Tw Cen MT" w:hAnsi="Tw Cen MT"/>
              </w:rPr>
            </w:pPr>
            <w:r w:rsidRPr="000E063D">
              <w:rPr>
                <w:rFonts w:ascii="Tw Cen MT" w:hAnsi="Tw Cen MT"/>
              </w:rPr>
              <w:t>50</w:t>
            </w:r>
          </w:p>
        </w:tc>
      </w:tr>
      <w:tr w:rsidR="001D544B" w:rsidRPr="000E063D" w14:paraId="3D97215F" w14:textId="77777777" w:rsidTr="00AD3776">
        <w:trPr>
          <w:cantSplit/>
          <w:trHeight w:val="260"/>
          <w:jc w:val="center"/>
        </w:trPr>
        <w:tc>
          <w:tcPr>
            <w:tcW w:w="827" w:type="dxa"/>
            <w:tcBorders>
              <w:bottom w:val="single" w:sz="4" w:space="0" w:color="auto"/>
            </w:tcBorders>
            <w:vAlign w:val="center"/>
          </w:tcPr>
          <w:p w14:paraId="5A96D2AB" w14:textId="77777777" w:rsidR="001D544B" w:rsidRPr="000E063D" w:rsidRDefault="001D544B" w:rsidP="0077425A">
            <w:pPr>
              <w:pStyle w:val="TableText"/>
              <w:rPr>
                <w:rFonts w:ascii="Tw Cen MT" w:hAnsi="Tw Cen MT"/>
              </w:rPr>
            </w:pPr>
            <w:r w:rsidRPr="000E063D">
              <w:rPr>
                <w:rFonts w:ascii="Tw Cen MT" w:hAnsi="Tw Cen MT"/>
              </w:rPr>
              <w:t>4</w:t>
            </w:r>
          </w:p>
        </w:tc>
        <w:tc>
          <w:tcPr>
            <w:tcW w:w="1418" w:type="dxa"/>
            <w:tcBorders>
              <w:bottom w:val="single" w:sz="4" w:space="0" w:color="auto"/>
            </w:tcBorders>
            <w:vAlign w:val="center"/>
          </w:tcPr>
          <w:p w14:paraId="671CDEEF" w14:textId="53DA03BC" w:rsidR="001D544B" w:rsidRPr="000E063D" w:rsidRDefault="0075684B" w:rsidP="0077425A">
            <w:pPr>
              <w:pStyle w:val="TableText"/>
              <w:rPr>
                <w:rFonts w:ascii="Tw Cen MT" w:hAnsi="Tw Cen MT"/>
              </w:rPr>
            </w:pPr>
            <w:r w:rsidRPr="000E063D">
              <w:rPr>
                <w:rFonts w:ascii="Tw Cen MT" w:hAnsi="Tw Cen MT"/>
              </w:rPr>
              <w:t>4%</w:t>
            </w:r>
          </w:p>
        </w:tc>
        <w:tc>
          <w:tcPr>
            <w:tcW w:w="1409" w:type="dxa"/>
            <w:vAlign w:val="center"/>
          </w:tcPr>
          <w:p w14:paraId="59A1577B" w14:textId="1809D056" w:rsidR="001D544B" w:rsidRPr="000E063D" w:rsidRDefault="0075684B" w:rsidP="0077425A">
            <w:pPr>
              <w:pStyle w:val="TableText"/>
              <w:rPr>
                <w:rFonts w:ascii="Tw Cen MT" w:hAnsi="Tw Cen MT"/>
              </w:rPr>
            </w:pPr>
            <w:r w:rsidRPr="000E063D">
              <w:rPr>
                <w:rFonts w:ascii="Tw Cen MT" w:hAnsi="Tw Cen MT"/>
              </w:rPr>
              <w:t>54</w:t>
            </w:r>
          </w:p>
        </w:tc>
        <w:tc>
          <w:tcPr>
            <w:tcW w:w="1223" w:type="dxa"/>
            <w:vAlign w:val="center"/>
          </w:tcPr>
          <w:p w14:paraId="1DA5EFAA" w14:textId="38B43461" w:rsidR="001D544B" w:rsidRPr="000E063D" w:rsidRDefault="00EA007C" w:rsidP="0077425A">
            <w:pPr>
              <w:pStyle w:val="TableText"/>
              <w:rPr>
                <w:rFonts w:ascii="Tw Cen MT" w:hAnsi="Tw Cen MT"/>
              </w:rPr>
            </w:pPr>
            <w:r w:rsidRPr="000E063D">
              <w:rPr>
                <w:rFonts w:ascii="Tw Cen MT" w:hAnsi="Tw Cen MT"/>
              </w:rPr>
              <w:t>4%</w:t>
            </w:r>
          </w:p>
        </w:tc>
        <w:tc>
          <w:tcPr>
            <w:tcW w:w="1350" w:type="dxa"/>
            <w:tcBorders>
              <w:bottom w:val="single" w:sz="4" w:space="0" w:color="auto"/>
            </w:tcBorders>
            <w:vAlign w:val="center"/>
          </w:tcPr>
          <w:p w14:paraId="01E80868" w14:textId="583B4EB7" w:rsidR="001D544B" w:rsidRPr="000E063D" w:rsidRDefault="00EA007C" w:rsidP="0077425A">
            <w:pPr>
              <w:pStyle w:val="TableText"/>
              <w:rPr>
                <w:rFonts w:ascii="Tw Cen MT" w:hAnsi="Tw Cen MT"/>
              </w:rPr>
            </w:pPr>
            <w:r w:rsidRPr="000E063D">
              <w:rPr>
                <w:rFonts w:ascii="Tw Cen MT" w:hAnsi="Tw Cen MT"/>
              </w:rPr>
              <w:t>50</w:t>
            </w:r>
          </w:p>
        </w:tc>
      </w:tr>
      <w:tr w:rsidR="001D544B" w:rsidRPr="000E063D" w14:paraId="3C999D4E" w14:textId="77777777" w:rsidTr="006076C3">
        <w:trPr>
          <w:cantSplit/>
          <w:trHeight w:val="260"/>
          <w:jc w:val="center"/>
        </w:trPr>
        <w:tc>
          <w:tcPr>
            <w:tcW w:w="827" w:type="dxa"/>
            <w:tcBorders>
              <w:bottom w:val="single" w:sz="4" w:space="0" w:color="auto"/>
            </w:tcBorders>
            <w:vAlign w:val="center"/>
          </w:tcPr>
          <w:p w14:paraId="69E81E11" w14:textId="77777777" w:rsidR="001D544B" w:rsidRPr="000E063D" w:rsidRDefault="001D544B" w:rsidP="0077425A">
            <w:pPr>
              <w:pStyle w:val="TableText"/>
              <w:rPr>
                <w:rFonts w:ascii="Tw Cen MT" w:hAnsi="Tw Cen MT"/>
              </w:rPr>
            </w:pPr>
            <w:r w:rsidRPr="000E063D">
              <w:rPr>
                <w:rFonts w:ascii="Tw Cen MT" w:hAnsi="Tw Cen MT"/>
              </w:rPr>
              <w:t>5</w:t>
            </w:r>
          </w:p>
        </w:tc>
        <w:tc>
          <w:tcPr>
            <w:tcW w:w="1418" w:type="dxa"/>
            <w:tcBorders>
              <w:bottom w:val="single" w:sz="4" w:space="0" w:color="auto"/>
            </w:tcBorders>
            <w:shd w:val="clear" w:color="auto" w:fill="000000" w:themeFill="text1"/>
            <w:vAlign w:val="center"/>
          </w:tcPr>
          <w:p w14:paraId="08D659E1" w14:textId="77777777" w:rsidR="001D544B" w:rsidRPr="000E063D" w:rsidRDefault="001D544B" w:rsidP="0077425A">
            <w:pPr>
              <w:pStyle w:val="TableText"/>
              <w:rPr>
                <w:rFonts w:ascii="Tw Cen MT" w:hAnsi="Tw Cen MT"/>
              </w:rPr>
            </w:pPr>
          </w:p>
        </w:tc>
        <w:tc>
          <w:tcPr>
            <w:tcW w:w="1409" w:type="dxa"/>
            <w:shd w:val="clear" w:color="auto" w:fill="000000" w:themeFill="text1"/>
            <w:vAlign w:val="center"/>
          </w:tcPr>
          <w:p w14:paraId="2242CF34" w14:textId="77777777" w:rsidR="001D544B" w:rsidRPr="000E063D" w:rsidRDefault="001D544B" w:rsidP="0077425A">
            <w:pPr>
              <w:pStyle w:val="TableText"/>
              <w:rPr>
                <w:rFonts w:ascii="Tw Cen MT" w:hAnsi="Tw Cen MT"/>
              </w:rPr>
            </w:pPr>
          </w:p>
        </w:tc>
        <w:tc>
          <w:tcPr>
            <w:tcW w:w="1223" w:type="dxa"/>
            <w:shd w:val="clear" w:color="auto" w:fill="000000" w:themeFill="text1"/>
            <w:vAlign w:val="center"/>
          </w:tcPr>
          <w:p w14:paraId="7813B5C9" w14:textId="77777777" w:rsidR="001D544B" w:rsidRPr="000E063D" w:rsidRDefault="001D544B" w:rsidP="0077425A">
            <w:pPr>
              <w:pStyle w:val="TableText"/>
              <w:rPr>
                <w:rFonts w:ascii="Tw Cen MT" w:hAnsi="Tw Cen MT"/>
              </w:rPr>
            </w:pPr>
          </w:p>
        </w:tc>
        <w:tc>
          <w:tcPr>
            <w:tcW w:w="1350" w:type="dxa"/>
            <w:tcBorders>
              <w:bottom w:val="single" w:sz="4" w:space="0" w:color="auto"/>
            </w:tcBorders>
            <w:shd w:val="clear" w:color="auto" w:fill="000000" w:themeFill="text1"/>
            <w:vAlign w:val="center"/>
          </w:tcPr>
          <w:p w14:paraId="2731CD31" w14:textId="77777777" w:rsidR="001D544B" w:rsidRPr="000E063D" w:rsidRDefault="001D544B" w:rsidP="0077425A">
            <w:pPr>
              <w:pStyle w:val="TableText"/>
              <w:rPr>
                <w:rFonts w:ascii="Tw Cen MT" w:hAnsi="Tw Cen MT"/>
              </w:rPr>
            </w:pPr>
          </w:p>
        </w:tc>
      </w:tr>
      <w:tr w:rsidR="001D544B" w:rsidRPr="000E063D" w14:paraId="378CA6F9" w14:textId="77777777" w:rsidTr="006076C3">
        <w:trPr>
          <w:cantSplit/>
          <w:trHeight w:val="260"/>
          <w:jc w:val="center"/>
        </w:trPr>
        <w:tc>
          <w:tcPr>
            <w:tcW w:w="827" w:type="dxa"/>
            <w:tcBorders>
              <w:bottom w:val="single" w:sz="4" w:space="0" w:color="auto"/>
            </w:tcBorders>
            <w:vAlign w:val="center"/>
          </w:tcPr>
          <w:p w14:paraId="6C347E45" w14:textId="77777777" w:rsidR="001D544B" w:rsidRPr="000E063D" w:rsidRDefault="001D544B" w:rsidP="0077425A">
            <w:pPr>
              <w:pStyle w:val="TableText"/>
              <w:rPr>
                <w:rFonts w:ascii="Tw Cen MT" w:hAnsi="Tw Cen MT"/>
              </w:rPr>
            </w:pPr>
            <w:r w:rsidRPr="000E063D">
              <w:rPr>
                <w:rFonts w:ascii="Tw Cen MT" w:hAnsi="Tw Cen MT"/>
              </w:rPr>
              <w:t>6</w:t>
            </w:r>
          </w:p>
        </w:tc>
        <w:tc>
          <w:tcPr>
            <w:tcW w:w="1418" w:type="dxa"/>
            <w:tcBorders>
              <w:bottom w:val="single" w:sz="4" w:space="0" w:color="auto"/>
            </w:tcBorders>
            <w:shd w:val="clear" w:color="auto" w:fill="000000" w:themeFill="text1"/>
            <w:vAlign w:val="center"/>
          </w:tcPr>
          <w:p w14:paraId="34DCFB1A" w14:textId="77777777" w:rsidR="001D544B" w:rsidRPr="000E063D" w:rsidRDefault="001D544B" w:rsidP="0077425A">
            <w:pPr>
              <w:pStyle w:val="TableText"/>
              <w:rPr>
                <w:rFonts w:ascii="Tw Cen MT" w:hAnsi="Tw Cen MT"/>
              </w:rPr>
            </w:pPr>
          </w:p>
        </w:tc>
        <w:tc>
          <w:tcPr>
            <w:tcW w:w="1409" w:type="dxa"/>
            <w:shd w:val="clear" w:color="auto" w:fill="000000" w:themeFill="text1"/>
            <w:vAlign w:val="center"/>
          </w:tcPr>
          <w:p w14:paraId="1C99ECCA" w14:textId="77777777" w:rsidR="001D544B" w:rsidRPr="000E063D" w:rsidRDefault="001D544B" w:rsidP="0077425A">
            <w:pPr>
              <w:pStyle w:val="TableText"/>
              <w:rPr>
                <w:rFonts w:ascii="Tw Cen MT" w:hAnsi="Tw Cen MT"/>
              </w:rPr>
            </w:pPr>
          </w:p>
        </w:tc>
        <w:tc>
          <w:tcPr>
            <w:tcW w:w="1223" w:type="dxa"/>
            <w:shd w:val="clear" w:color="auto" w:fill="000000" w:themeFill="text1"/>
            <w:vAlign w:val="center"/>
          </w:tcPr>
          <w:p w14:paraId="581DBAC7" w14:textId="77777777" w:rsidR="001D544B" w:rsidRPr="000E063D" w:rsidRDefault="001D544B" w:rsidP="0077425A">
            <w:pPr>
              <w:pStyle w:val="TableText"/>
              <w:rPr>
                <w:rFonts w:ascii="Tw Cen MT" w:hAnsi="Tw Cen MT"/>
              </w:rPr>
            </w:pPr>
          </w:p>
        </w:tc>
        <w:tc>
          <w:tcPr>
            <w:tcW w:w="1350" w:type="dxa"/>
            <w:tcBorders>
              <w:bottom w:val="single" w:sz="4" w:space="0" w:color="auto"/>
            </w:tcBorders>
            <w:shd w:val="clear" w:color="auto" w:fill="000000" w:themeFill="text1"/>
            <w:vAlign w:val="center"/>
          </w:tcPr>
          <w:p w14:paraId="07934361" w14:textId="77777777" w:rsidR="001D544B" w:rsidRPr="000E063D" w:rsidRDefault="001D544B" w:rsidP="0077425A">
            <w:pPr>
              <w:pStyle w:val="TableText"/>
              <w:rPr>
                <w:rFonts w:ascii="Tw Cen MT" w:hAnsi="Tw Cen MT"/>
              </w:rPr>
            </w:pPr>
          </w:p>
        </w:tc>
      </w:tr>
      <w:tr w:rsidR="001D544B" w:rsidRPr="000E063D" w14:paraId="727A0CCF" w14:textId="77777777" w:rsidTr="006076C3">
        <w:trPr>
          <w:cantSplit/>
          <w:trHeight w:val="260"/>
          <w:jc w:val="center"/>
        </w:trPr>
        <w:tc>
          <w:tcPr>
            <w:tcW w:w="827" w:type="dxa"/>
            <w:tcBorders>
              <w:bottom w:val="single" w:sz="4" w:space="0" w:color="auto"/>
            </w:tcBorders>
            <w:vAlign w:val="center"/>
          </w:tcPr>
          <w:p w14:paraId="29EE63EB" w14:textId="77777777" w:rsidR="001D544B" w:rsidRPr="000E063D" w:rsidRDefault="001D544B" w:rsidP="0077425A">
            <w:pPr>
              <w:pStyle w:val="TableText"/>
              <w:rPr>
                <w:rFonts w:ascii="Tw Cen MT" w:hAnsi="Tw Cen MT"/>
              </w:rPr>
            </w:pPr>
            <w:r w:rsidRPr="000E063D">
              <w:rPr>
                <w:rFonts w:ascii="Tw Cen MT" w:hAnsi="Tw Cen MT"/>
              </w:rPr>
              <w:t>7</w:t>
            </w:r>
          </w:p>
        </w:tc>
        <w:tc>
          <w:tcPr>
            <w:tcW w:w="1418" w:type="dxa"/>
            <w:tcBorders>
              <w:bottom w:val="single" w:sz="4" w:space="0" w:color="auto"/>
            </w:tcBorders>
            <w:shd w:val="clear" w:color="auto" w:fill="000000" w:themeFill="text1"/>
            <w:vAlign w:val="center"/>
          </w:tcPr>
          <w:p w14:paraId="397BF075" w14:textId="77777777" w:rsidR="001D544B" w:rsidRPr="000E063D" w:rsidRDefault="001D544B" w:rsidP="0077425A">
            <w:pPr>
              <w:pStyle w:val="TableText"/>
              <w:rPr>
                <w:rFonts w:ascii="Tw Cen MT" w:hAnsi="Tw Cen MT"/>
              </w:rPr>
            </w:pPr>
          </w:p>
        </w:tc>
        <w:tc>
          <w:tcPr>
            <w:tcW w:w="1409" w:type="dxa"/>
            <w:shd w:val="clear" w:color="auto" w:fill="000000" w:themeFill="text1"/>
            <w:vAlign w:val="center"/>
          </w:tcPr>
          <w:p w14:paraId="62C49A49" w14:textId="77777777" w:rsidR="001D544B" w:rsidRPr="000E063D" w:rsidRDefault="001D544B" w:rsidP="0077425A">
            <w:pPr>
              <w:pStyle w:val="TableText"/>
              <w:rPr>
                <w:rFonts w:ascii="Tw Cen MT" w:hAnsi="Tw Cen MT"/>
              </w:rPr>
            </w:pPr>
          </w:p>
        </w:tc>
        <w:tc>
          <w:tcPr>
            <w:tcW w:w="1223" w:type="dxa"/>
            <w:shd w:val="clear" w:color="auto" w:fill="000000" w:themeFill="text1"/>
            <w:vAlign w:val="center"/>
          </w:tcPr>
          <w:p w14:paraId="2B5FBDEF" w14:textId="77777777" w:rsidR="001D544B" w:rsidRPr="000E063D" w:rsidRDefault="001D544B" w:rsidP="0077425A">
            <w:pPr>
              <w:pStyle w:val="TableText"/>
              <w:rPr>
                <w:rFonts w:ascii="Tw Cen MT" w:hAnsi="Tw Cen MT"/>
              </w:rPr>
            </w:pPr>
          </w:p>
        </w:tc>
        <w:tc>
          <w:tcPr>
            <w:tcW w:w="1350" w:type="dxa"/>
            <w:tcBorders>
              <w:bottom w:val="single" w:sz="4" w:space="0" w:color="auto"/>
            </w:tcBorders>
            <w:shd w:val="clear" w:color="auto" w:fill="000000" w:themeFill="text1"/>
            <w:vAlign w:val="center"/>
          </w:tcPr>
          <w:p w14:paraId="13064462" w14:textId="77777777" w:rsidR="001D544B" w:rsidRPr="000E063D" w:rsidRDefault="001D544B" w:rsidP="0077425A">
            <w:pPr>
              <w:pStyle w:val="TableText"/>
              <w:rPr>
                <w:rFonts w:ascii="Tw Cen MT" w:hAnsi="Tw Cen MT"/>
              </w:rPr>
            </w:pPr>
          </w:p>
        </w:tc>
      </w:tr>
      <w:tr w:rsidR="001D544B" w:rsidRPr="000E063D" w14:paraId="22698B69" w14:textId="77777777" w:rsidTr="006076C3">
        <w:trPr>
          <w:cantSplit/>
          <w:trHeight w:val="260"/>
          <w:jc w:val="center"/>
        </w:trPr>
        <w:tc>
          <w:tcPr>
            <w:tcW w:w="827" w:type="dxa"/>
            <w:tcBorders>
              <w:bottom w:val="double" w:sz="4" w:space="0" w:color="auto"/>
            </w:tcBorders>
            <w:vAlign w:val="center"/>
          </w:tcPr>
          <w:p w14:paraId="4F4A5DA8" w14:textId="77777777" w:rsidR="001D544B" w:rsidRPr="000E063D" w:rsidRDefault="001D544B" w:rsidP="0077425A">
            <w:pPr>
              <w:pStyle w:val="TableText"/>
              <w:rPr>
                <w:rFonts w:ascii="Tw Cen MT" w:hAnsi="Tw Cen MT"/>
              </w:rPr>
            </w:pPr>
            <w:r w:rsidRPr="000E063D">
              <w:rPr>
                <w:rFonts w:ascii="Tw Cen MT" w:hAnsi="Tw Cen MT"/>
              </w:rPr>
              <w:t>8</w:t>
            </w:r>
          </w:p>
        </w:tc>
        <w:tc>
          <w:tcPr>
            <w:tcW w:w="1418" w:type="dxa"/>
            <w:tcBorders>
              <w:bottom w:val="double" w:sz="4" w:space="0" w:color="auto"/>
            </w:tcBorders>
            <w:shd w:val="clear" w:color="auto" w:fill="000000" w:themeFill="text1"/>
            <w:vAlign w:val="center"/>
          </w:tcPr>
          <w:p w14:paraId="72F7C4A1" w14:textId="77777777" w:rsidR="001D544B" w:rsidRPr="000E063D" w:rsidRDefault="001D544B" w:rsidP="0077425A">
            <w:pPr>
              <w:pStyle w:val="TableText"/>
              <w:rPr>
                <w:rFonts w:ascii="Tw Cen MT" w:hAnsi="Tw Cen MT"/>
              </w:rPr>
            </w:pPr>
          </w:p>
        </w:tc>
        <w:tc>
          <w:tcPr>
            <w:tcW w:w="1409" w:type="dxa"/>
            <w:tcBorders>
              <w:bottom w:val="double" w:sz="4" w:space="0" w:color="auto"/>
            </w:tcBorders>
            <w:shd w:val="clear" w:color="auto" w:fill="000000" w:themeFill="text1"/>
            <w:vAlign w:val="center"/>
          </w:tcPr>
          <w:p w14:paraId="263F4316" w14:textId="77777777" w:rsidR="001D544B" w:rsidRPr="000E063D" w:rsidRDefault="001D544B" w:rsidP="0077425A">
            <w:pPr>
              <w:pStyle w:val="TableText"/>
              <w:rPr>
                <w:rFonts w:ascii="Tw Cen MT" w:hAnsi="Tw Cen MT"/>
              </w:rPr>
            </w:pPr>
          </w:p>
        </w:tc>
        <w:tc>
          <w:tcPr>
            <w:tcW w:w="1223" w:type="dxa"/>
            <w:tcBorders>
              <w:bottom w:val="double" w:sz="4" w:space="0" w:color="auto"/>
            </w:tcBorders>
            <w:shd w:val="clear" w:color="auto" w:fill="000000" w:themeFill="text1"/>
            <w:vAlign w:val="center"/>
          </w:tcPr>
          <w:p w14:paraId="63FD5A5D" w14:textId="77777777" w:rsidR="001D544B" w:rsidRPr="000E063D" w:rsidRDefault="001D544B" w:rsidP="0077425A">
            <w:pPr>
              <w:pStyle w:val="TableText"/>
              <w:rPr>
                <w:rFonts w:ascii="Tw Cen MT" w:hAnsi="Tw Cen MT"/>
              </w:rPr>
            </w:pPr>
          </w:p>
        </w:tc>
        <w:tc>
          <w:tcPr>
            <w:tcW w:w="1350" w:type="dxa"/>
            <w:tcBorders>
              <w:bottom w:val="double" w:sz="4" w:space="0" w:color="auto"/>
            </w:tcBorders>
            <w:shd w:val="clear" w:color="auto" w:fill="000000" w:themeFill="text1"/>
            <w:vAlign w:val="center"/>
          </w:tcPr>
          <w:p w14:paraId="0980848B" w14:textId="77777777" w:rsidR="001D544B" w:rsidRPr="000E063D" w:rsidRDefault="001D544B" w:rsidP="0077425A">
            <w:pPr>
              <w:pStyle w:val="TableText"/>
              <w:rPr>
                <w:rFonts w:ascii="Tw Cen MT" w:hAnsi="Tw Cen MT"/>
              </w:rPr>
            </w:pPr>
          </w:p>
        </w:tc>
      </w:tr>
      <w:tr w:rsidR="001D544B" w:rsidRPr="000E063D" w14:paraId="1BECF341" w14:textId="77777777" w:rsidTr="00AD3776">
        <w:trPr>
          <w:cantSplit/>
          <w:trHeight w:val="240"/>
          <w:jc w:val="center"/>
        </w:trPr>
        <w:tc>
          <w:tcPr>
            <w:tcW w:w="827" w:type="dxa"/>
            <w:tcBorders>
              <w:top w:val="double" w:sz="4" w:space="0" w:color="auto"/>
              <w:bottom w:val="double" w:sz="4" w:space="0" w:color="auto"/>
            </w:tcBorders>
            <w:vAlign w:val="center"/>
          </w:tcPr>
          <w:p w14:paraId="4615F67D" w14:textId="77777777" w:rsidR="001D544B" w:rsidRPr="000E063D" w:rsidRDefault="001D544B" w:rsidP="0077425A">
            <w:pPr>
              <w:pStyle w:val="TableText"/>
              <w:rPr>
                <w:rFonts w:ascii="Tw Cen MT" w:hAnsi="Tw Cen MT"/>
              </w:rPr>
            </w:pPr>
            <w:r w:rsidRPr="000E063D">
              <w:rPr>
                <w:rFonts w:ascii="Tw Cen MT" w:hAnsi="Tw Cen MT"/>
              </w:rPr>
              <w:t xml:space="preserve">All </w:t>
            </w:r>
          </w:p>
        </w:tc>
        <w:tc>
          <w:tcPr>
            <w:tcW w:w="1418" w:type="dxa"/>
            <w:tcBorders>
              <w:top w:val="double" w:sz="4" w:space="0" w:color="auto"/>
              <w:bottom w:val="double" w:sz="4" w:space="0" w:color="auto"/>
            </w:tcBorders>
            <w:vAlign w:val="center"/>
          </w:tcPr>
          <w:p w14:paraId="539DEDDA" w14:textId="3330920C" w:rsidR="001D544B" w:rsidRPr="000E063D" w:rsidRDefault="00B046F3" w:rsidP="0077425A">
            <w:pPr>
              <w:pStyle w:val="TableText"/>
              <w:rPr>
                <w:rFonts w:ascii="Tw Cen MT" w:hAnsi="Tw Cen MT"/>
              </w:rPr>
            </w:pPr>
            <w:r w:rsidRPr="000E063D">
              <w:rPr>
                <w:rFonts w:ascii="Tw Cen MT" w:hAnsi="Tw Cen MT"/>
              </w:rPr>
              <w:t>8%</w:t>
            </w:r>
          </w:p>
        </w:tc>
        <w:tc>
          <w:tcPr>
            <w:tcW w:w="1409" w:type="dxa"/>
            <w:tcBorders>
              <w:top w:val="double" w:sz="4" w:space="0" w:color="auto"/>
              <w:bottom w:val="double" w:sz="4" w:space="0" w:color="auto"/>
            </w:tcBorders>
            <w:vAlign w:val="center"/>
          </w:tcPr>
          <w:p w14:paraId="6CBAB93B" w14:textId="37CFCA52" w:rsidR="001D544B" w:rsidRPr="000E063D" w:rsidRDefault="002A3767" w:rsidP="0077425A">
            <w:pPr>
              <w:pStyle w:val="TableText"/>
              <w:rPr>
                <w:rFonts w:ascii="Tw Cen MT" w:hAnsi="Tw Cen MT"/>
              </w:rPr>
            </w:pPr>
            <w:r w:rsidRPr="000E063D">
              <w:rPr>
                <w:rFonts w:ascii="Tw Cen MT" w:hAnsi="Tw Cen MT"/>
              </w:rPr>
              <w:t>105</w:t>
            </w:r>
          </w:p>
        </w:tc>
        <w:tc>
          <w:tcPr>
            <w:tcW w:w="1223" w:type="dxa"/>
            <w:tcBorders>
              <w:top w:val="double" w:sz="4" w:space="0" w:color="auto"/>
              <w:bottom w:val="double" w:sz="4" w:space="0" w:color="auto"/>
            </w:tcBorders>
            <w:vAlign w:val="center"/>
          </w:tcPr>
          <w:p w14:paraId="526101FF" w14:textId="13962D21" w:rsidR="001D544B" w:rsidRPr="000E063D" w:rsidRDefault="00B046F3" w:rsidP="0077425A">
            <w:pPr>
              <w:pStyle w:val="TableText"/>
              <w:rPr>
                <w:rFonts w:ascii="Tw Cen MT" w:hAnsi="Tw Cen MT"/>
              </w:rPr>
            </w:pPr>
            <w:r w:rsidRPr="000E063D">
              <w:rPr>
                <w:rFonts w:ascii="Tw Cen MT" w:hAnsi="Tw Cen MT"/>
              </w:rPr>
              <w:t>8%</w:t>
            </w:r>
          </w:p>
        </w:tc>
        <w:tc>
          <w:tcPr>
            <w:tcW w:w="1350" w:type="dxa"/>
            <w:tcBorders>
              <w:top w:val="double" w:sz="4" w:space="0" w:color="auto"/>
              <w:bottom w:val="double" w:sz="4" w:space="0" w:color="auto"/>
            </w:tcBorders>
            <w:vAlign w:val="center"/>
          </w:tcPr>
          <w:p w14:paraId="6E966D53" w14:textId="3CFEA0E6" w:rsidR="001D544B" w:rsidRPr="000E063D" w:rsidRDefault="002A3767" w:rsidP="0077425A">
            <w:pPr>
              <w:pStyle w:val="TableText"/>
              <w:rPr>
                <w:rFonts w:ascii="Tw Cen MT" w:hAnsi="Tw Cen MT"/>
              </w:rPr>
            </w:pPr>
            <w:r w:rsidRPr="000E063D">
              <w:rPr>
                <w:rFonts w:ascii="Tw Cen MT" w:hAnsi="Tw Cen MT"/>
              </w:rPr>
              <w:t>100</w:t>
            </w:r>
          </w:p>
        </w:tc>
      </w:tr>
    </w:tbl>
    <w:p w14:paraId="77C71284" w14:textId="0543C96B" w:rsidR="001D544B" w:rsidRDefault="001D544B" w:rsidP="001D544B">
      <w:pPr>
        <w:jc w:val="center"/>
        <w:rPr>
          <w:rFonts w:ascii="Tw Cen MT" w:hAnsi="Tw Cen MT"/>
          <w:b/>
          <w:color w:val="000000"/>
          <w:szCs w:val="23"/>
        </w:rPr>
      </w:pPr>
    </w:p>
    <w:p w14:paraId="1492CF36" w14:textId="1894750B" w:rsidR="00242E6B" w:rsidRDefault="00242E6B" w:rsidP="001D544B">
      <w:pPr>
        <w:jc w:val="center"/>
        <w:rPr>
          <w:rFonts w:ascii="Tw Cen MT" w:hAnsi="Tw Cen MT"/>
          <w:b/>
          <w:color w:val="000000"/>
          <w:szCs w:val="23"/>
        </w:rPr>
      </w:pPr>
    </w:p>
    <w:p w14:paraId="125AD335" w14:textId="4165522C" w:rsidR="00160F30" w:rsidRDefault="00160F30" w:rsidP="001D544B">
      <w:pPr>
        <w:jc w:val="center"/>
        <w:rPr>
          <w:rFonts w:ascii="Tw Cen MT" w:hAnsi="Tw Cen MT"/>
          <w:b/>
          <w:color w:val="000000"/>
          <w:szCs w:val="23"/>
        </w:rPr>
      </w:pPr>
    </w:p>
    <w:p w14:paraId="670E4B7B" w14:textId="2A72A44C" w:rsidR="00160F30" w:rsidRDefault="00160F30" w:rsidP="001D544B">
      <w:pPr>
        <w:jc w:val="center"/>
        <w:rPr>
          <w:rFonts w:ascii="Tw Cen MT" w:hAnsi="Tw Cen MT"/>
          <w:b/>
          <w:color w:val="000000"/>
          <w:szCs w:val="23"/>
        </w:rPr>
      </w:pPr>
    </w:p>
    <w:p w14:paraId="0B15BFB2" w14:textId="77777777" w:rsidR="00160F30" w:rsidRDefault="00160F30" w:rsidP="001D544B">
      <w:pPr>
        <w:jc w:val="center"/>
        <w:rPr>
          <w:rFonts w:ascii="Tw Cen MT" w:hAnsi="Tw Cen MT"/>
          <w:b/>
          <w:color w:val="000000"/>
          <w:szCs w:val="23"/>
        </w:rPr>
      </w:pPr>
    </w:p>
    <w:p w14:paraId="05169688" w14:textId="77777777" w:rsidR="00242E6B" w:rsidRPr="000E063D" w:rsidRDefault="00242E6B" w:rsidP="001D544B">
      <w:pPr>
        <w:jc w:val="center"/>
        <w:rPr>
          <w:rFonts w:ascii="Tw Cen MT" w:hAnsi="Tw Cen MT"/>
          <w:b/>
          <w:color w:val="000000"/>
          <w:szCs w:val="23"/>
        </w:rPr>
      </w:pPr>
    </w:p>
    <w:p w14:paraId="2B1E50BC" w14:textId="67285B05" w:rsidR="001D544B" w:rsidRPr="000E063D" w:rsidRDefault="001D544B" w:rsidP="001D544B">
      <w:pPr>
        <w:pStyle w:val="MeasureTitle"/>
        <w:rPr>
          <w:rFonts w:ascii="Tw Cen MT" w:hAnsi="Tw Cen MT"/>
        </w:rPr>
      </w:pPr>
      <w:r w:rsidRPr="000E063D">
        <w:rPr>
          <w:rFonts w:ascii="Tw Cen MT" w:hAnsi="Tw Cen MT"/>
        </w:rPr>
        <w:lastRenderedPageBreak/>
        <w:t xml:space="preserve">Goal </w:t>
      </w:r>
      <w:r w:rsidR="00887AA2" w:rsidRPr="000E063D">
        <w:rPr>
          <w:rFonts w:ascii="Tw Cen MT" w:hAnsi="Tw Cen MT"/>
        </w:rPr>
        <w:t>1</w:t>
      </w:r>
      <w:r w:rsidRPr="000E063D">
        <w:rPr>
          <w:rFonts w:ascii="Tw Cen MT" w:hAnsi="Tw Cen MT"/>
        </w:rPr>
        <w:t>: Absolute Measure</w:t>
      </w:r>
    </w:p>
    <w:p w14:paraId="77E8BA5B" w14:textId="16370681" w:rsidR="001D544B" w:rsidRPr="000E063D" w:rsidRDefault="001D544B" w:rsidP="002A1AB2">
      <w:pPr>
        <w:pStyle w:val="MeasureText"/>
        <w:rPr>
          <w:rFonts w:ascii="Tw Cen MT" w:hAnsi="Tw Cen MT"/>
          <w:b/>
          <w:bCs/>
          <w:i/>
          <w:iCs/>
        </w:rPr>
      </w:pPr>
      <w:r w:rsidRPr="000E063D">
        <w:rPr>
          <w:rFonts w:ascii="Tw Cen MT" w:hAnsi="Tw Cen MT"/>
        </w:rPr>
        <w:t>Each year, the school’s aggregate Performance Index (“PI”) on the State English language arts exam will meet that year’s state Measure of Interim Progress (“MIP”) set forth in the state’s ESSA accountability system.</w:t>
      </w:r>
    </w:p>
    <w:p w14:paraId="4B00774D" w14:textId="1C7B8994" w:rsidR="002A1AB2" w:rsidRPr="000E063D" w:rsidRDefault="002A1AB2" w:rsidP="002A1AB2">
      <w:pPr>
        <w:rPr>
          <w:rFonts w:ascii="Tw Cen MT" w:hAnsi="Tw Cen MT"/>
        </w:rPr>
      </w:pPr>
      <w:bookmarkStart w:id="3" w:name="_Hlk103638773"/>
      <w:r w:rsidRPr="000E063D">
        <w:rPr>
          <w:rFonts w:ascii="Tw Cen MT" w:hAnsi="Tw Cen MT"/>
        </w:rPr>
        <w:t xml:space="preserve">The Institute does not require charters to report </w:t>
      </w:r>
      <w:r w:rsidR="00FD3351" w:rsidRPr="000E063D">
        <w:rPr>
          <w:rFonts w:ascii="Tw Cen MT" w:hAnsi="Tw Cen MT"/>
        </w:rPr>
        <w:t xml:space="preserve">on </w:t>
      </w:r>
      <w:r w:rsidRPr="000E063D">
        <w:rPr>
          <w:rFonts w:ascii="Tw Cen MT" w:hAnsi="Tw Cen MT"/>
        </w:rPr>
        <w:t xml:space="preserve">this measure for 2021-22. </w:t>
      </w:r>
    </w:p>
    <w:bookmarkEnd w:id="3"/>
    <w:p w14:paraId="481ADCBF" w14:textId="265C6025" w:rsidR="001D544B" w:rsidRPr="000E063D" w:rsidRDefault="001D544B" w:rsidP="001D544B">
      <w:pPr>
        <w:pStyle w:val="MeasureTitle"/>
        <w:rPr>
          <w:rFonts w:ascii="Tw Cen MT" w:hAnsi="Tw Cen MT"/>
        </w:rPr>
      </w:pPr>
      <w:r w:rsidRPr="000E063D">
        <w:rPr>
          <w:rFonts w:ascii="Tw Cen MT" w:hAnsi="Tw Cen MT"/>
        </w:rPr>
        <w:t xml:space="preserve">Goal </w:t>
      </w:r>
      <w:r w:rsidR="00887AA2" w:rsidRPr="000E063D">
        <w:rPr>
          <w:rFonts w:ascii="Tw Cen MT" w:hAnsi="Tw Cen MT"/>
        </w:rPr>
        <w:t>1</w:t>
      </w:r>
      <w:r w:rsidRPr="000E063D">
        <w:rPr>
          <w:rFonts w:ascii="Tw Cen MT" w:hAnsi="Tw Cen MT"/>
        </w:rPr>
        <w:t>: Comparative Measure</w:t>
      </w:r>
    </w:p>
    <w:p w14:paraId="49936E4B" w14:textId="77777777" w:rsidR="001D544B" w:rsidRPr="000E063D" w:rsidRDefault="001D544B" w:rsidP="001D544B">
      <w:pPr>
        <w:pStyle w:val="MeasureText"/>
        <w:rPr>
          <w:rFonts w:ascii="Tw Cen MT" w:hAnsi="Tw Cen MT"/>
          <w:i/>
        </w:rPr>
      </w:pPr>
      <w:r w:rsidRPr="000E063D">
        <w:rPr>
          <w:rFonts w:ascii="Tw Cen MT" w:hAnsi="Tw Cen MT"/>
        </w:rPr>
        <w:t>Each year, the percent of all tested students who are enrolled in at least their second year and performing at proficiency on the state English language arts exam will be greater than that of all students in the same tested grades in the school district of comparison.</w:t>
      </w:r>
    </w:p>
    <w:p w14:paraId="37FB0418" w14:textId="77777777" w:rsidR="001D544B" w:rsidRPr="000E063D" w:rsidRDefault="001D544B" w:rsidP="001D544B">
      <w:pPr>
        <w:pStyle w:val="Heading2"/>
        <w:rPr>
          <w:rFonts w:ascii="Tw Cen MT" w:hAnsi="Tw Cen MT"/>
        </w:rPr>
      </w:pPr>
      <w:r w:rsidRPr="000E063D">
        <w:rPr>
          <w:rFonts w:ascii="Tw Cen MT" w:hAnsi="Tw Cen MT"/>
        </w:rPr>
        <w:t>Method</w:t>
      </w:r>
    </w:p>
    <w:p w14:paraId="33D8E62F" w14:textId="56ECF044" w:rsidR="001D544B" w:rsidRPr="000E063D" w:rsidRDefault="001D544B" w:rsidP="001D544B">
      <w:pPr>
        <w:rPr>
          <w:rFonts w:ascii="Tw Cen MT" w:hAnsi="Tw Cen MT"/>
        </w:rPr>
      </w:pPr>
      <w:r w:rsidRPr="000E063D">
        <w:rPr>
          <w:rFonts w:ascii="Tw Cen MT" w:hAnsi="Tw Cen MT"/>
        </w:rPr>
        <w:t>A school compares tested students enrolled in at least their second year to all tested students in the public school district of comparison.  Comparisons are between the results for each grade in which the school had tested students in at least their second year at the school and the total result for all students at the corresponding grades in the school district.</w:t>
      </w:r>
    </w:p>
    <w:p w14:paraId="23036E45" w14:textId="77777777" w:rsidR="001D544B" w:rsidRPr="000E063D" w:rsidRDefault="001D544B" w:rsidP="001D544B">
      <w:pPr>
        <w:pStyle w:val="Heading2"/>
        <w:rPr>
          <w:rFonts w:ascii="Tw Cen MT" w:hAnsi="Tw Cen MT"/>
        </w:rPr>
      </w:pPr>
      <w:r w:rsidRPr="000E063D">
        <w:rPr>
          <w:rFonts w:ascii="Tw Cen MT" w:hAnsi="Tw Cen MT"/>
        </w:rPr>
        <w:t>Results and Evaluation</w:t>
      </w:r>
    </w:p>
    <w:p w14:paraId="55AA14B2" w14:textId="3768B96F" w:rsidR="001D544B" w:rsidRPr="000E063D" w:rsidRDefault="00242E6B" w:rsidP="001D544B">
      <w:pPr>
        <w:rPr>
          <w:rFonts w:ascii="Tw Cen MT" w:hAnsi="Tw Cen MT"/>
        </w:rPr>
      </w:pPr>
      <w:r>
        <w:rPr>
          <w:rFonts w:ascii="Tw Cen MT" w:hAnsi="Tw Cen MT"/>
        </w:rPr>
        <w:t xml:space="preserve">Data from the district is not yet available, so we are unable to complete this comparison </w:t>
      </w:r>
      <w:proofErr w:type="gramStart"/>
      <w:r>
        <w:rPr>
          <w:rFonts w:ascii="Tw Cen MT" w:hAnsi="Tw Cen MT"/>
        </w:rPr>
        <w:t>at this time</w:t>
      </w:r>
      <w:proofErr w:type="gramEnd"/>
      <w:r>
        <w:rPr>
          <w:rFonts w:ascii="Tw Cen MT" w:hAnsi="Tw Cen MT"/>
        </w:rPr>
        <w:t xml:space="preserve">. </w:t>
      </w:r>
    </w:p>
    <w:p w14:paraId="78E8E360" w14:textId="77777777" w:rsidR="001D544B" w:rsidRPr="000E063D" w:rsidRDefault="001D544B" w:rsidP="001D544B">
      <w:pPr>
        <w:rPr>
          <w:rFonts w:ascii="Tw Cen MT" w:hAnsi="Tw Cen MT"/>
        </w:rPr>
      </w:pPr>
    </w:p>
    <w:p w14:paraId="1967DD9A" w14:textId="1C4A3359" w:rsidR="001D544B" w:rsidRPr="000E063D" w:rsidRDefault="001D544B" w:rsidP="001D544B">
      <w:pPr>
        <w:pStyle w:val="TableHeader"/>
        <w:rPr>
          <w:rFonts w:ascii="Tw Cen MT" w:hAnsi="Tw Cen MT"/>
        </w:rPr>
      </w:pPr>
      <w:r w:rsidRPr="000E063D">
        <w:rPr>
          <w:rFonts w:ascii="Tw Cen MT" w:hAnsi="Tw Cen MT"/>
        </w:rPr>
        <w:t>20</w:t>
      </w:r>
      <w:r w:rsidR="00D35D2A" w:rsidRPr="000E063D">
        <w:rPr>
          <w:rFonts w:ascii="Tw Cen MT" w:hAnsi="Tw Cen MT"/>
        </w:rPr>
        <w:t>21</w:t>
      </w:r>
      <w:r w:rsidRPr="000E063D">
        <w:rPr>
          <w:rFonts w:ascii="Tw Cen MT" w:hAnsi="Tw Cen MT"/>
        </w:rPr>
        <w:t>-</w:t>
      </w:r>
      <w:r w:rsidR="00D35D2A" w:rsidRPr="000E063D">
        <w:rPr>
          <w:rFonts w:ascii="Tw Cen MT" w:hAnsi="Tw Cen MT"/>
        </w:rPr>
        <w:t>22</w:t>
      </w:r>
      <w:r w:rsidRPr="000E063D">
        <w:rPr>
          <w:rFonts w:ascii="Tw Cen MT" w:hAnsi="Tw Cen MT"/>
        </w:rPr>
        <w:t xml:space="preserve"> State English Language Arts Exam </w:t>
      </w:r>
      <w:r w:rsidRPr="000E063D">
        <w:rPr>
          <w:rFonts w:ascii="Tw Cen MT" w:hAnsi="Tw Cen MT"/>
        </w:rPr>
        <w:br/>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1D544B" w:rsidRPr="000E063D" w14:paraId="1D9FAB4E" w14:textId="77777777" w:rsidTr="0077425A">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0AD1D02" w14:textId="77777777" w:rsidR="001D544B" w:rsidRPr="000E063D" w:rsidRDefault="001D544B" w:rsidP="0077425A">
            <w:pPr>
              <w:pStyle w:val="TableText"/>
              <w:rPr>
                <w:rFonts w:ascii="Tw Cen MT" w:hAnsi="Tw Cen MT"/>
              </w:rPr>
            </w:pPr>
            <w:r w:rsidRPr="000E063D">
              <w:rPr>
                <w:rFonts w:ascii="Tw Cen MT" w:hAnsi="Tw Cen MT"/>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EBB2E" w14:textId="0E19513F" w:rsidR="001D544B" w:rsidRPr="000E063D" w:rsidRDefault="001D544B" w:rsidP="0077425A">
            <w:pPr>
              <w:pStyle w:val="TableText"/>
              <w:rPr>
                <w:rFonts w:ascii="Tw Cen MT" w:hAnsi="Tw Cen MT"/>
              </w:rPr>
            </w:pPr>
            <w:r w:rsidRPr="000E063D">
              <w:rPr>
                <w:rFonts w:ascii="Tw Cen MT" w:hAnsi="Tw Cen MT"/>
              </w:rPr>
              <w:t>Percent of Students at</w:t>
            </w:r>
            <w:r w:rsidR="00D35D2A" w:rsidRPr="000E063D">
              <w:rPr>
                <w:rFonts w:ascii="Tw Cen MT" w:hAnsi="Tw Cen MT"/>
              </w:rPr>
              <w:t xml:space="preserve"> </w:t>
            </w:r>
            <w:r w:rsidRPr="000E063D">
              <w:rPr>
                <w:rFonts w:ascii="Tw Cen MT" w:hAnsi="Tw Cen MT"/>
              </w:rPr>
              <w:t>or Above Proficiency</w:t>
            </w:r>
          </w:p>
        </w:tc>
      </w:tr>
      <w:tr w:rsidR="001D544B" w:rsidRPr="000E063D" w14:paraId="77CB7CBD" w14:textId="77777777" w:rsidTr="0077425A">
        <w:trPr>
          <w:tblHeader/>
          <w:jc w:val="center"/>
        </w:trPr>
        <w:tc>
          <w:tcPr>
            <w:tcW w:w="783" w:type="dxa"/>
            <w:vMerge/>
            <w:tcBorders>
              <w:left w:val="single" w:sz="4" w:space="0" w:color="auto"/>
              <w:right w:val="single" w:sz="4" w:space="0" w:color="auto"/>
            </w:tcBorders>
            <w:shd w:val="clear" w:color="auto" w:fill="auto"/>
            <w:vAlign w:val="center"/>
          </w:tcPr>
          <w:p w14:paraId="117B8FC7" w14:textId="77777777" w:rsidR="001D544B" w:rsidRPr="000E063D" w:rsidRDefault="001D544B" w:rsidP="0077425A">
            <w:pPr>
              <w:pStyle w:val="TableText"/>
              <w:rPr>
                <w:rFonts w:ascii="Tw Cen MT" w:hAnsi="Tw Cen MT"/>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780DC" w14:textId="77777777" w:rsidR="001D544B" w:rsidRPr="000E063D" w:rsidRDefault="001D544B" w:rsidP="0077425A">
            <w:pPr>
              <w:pStyle w:val="TableText"/>
              <w:rPr>
                <w:rFonts w:ascii="Tw Cen MT" w:hAnsi="Tw Cen MT"/>
              </w:rPr>
            </w:pPr>
            <w:r w:rsidRPr="000E063D">
              <w:rPr>
                <w:rFonts w:ascii="Tw Cen MT" w:hAnsi="Tw Cen MT"/>
              </w:rPr>
              <w:t>Charter School Students In At Least 2</w:t>
            </w:r>
            <w:r w:rsidRPr="000E063D">
              <w:rPr>
                <w:rFonts w:ascii="Tw Cen MT" w:hAnsi="Tw Cen MT"/>
                <w:vertAlign w:val="superscript"/>
              </w:rPr>
              <w:t>nd</w:t>
            </w:r>
            <w:r w:rsidRPr="000E063D">
              <w:rPr>
                <w:rFonts w:ascii="Tw Cen MT" w:hAnsi="Tw Cen MT"/>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6E276145" w14:textId="77777777" w:rsidR="001D544B" w:rsidRPr="000E063D" w:rsidRDefault="001D544B" w:rsidP="0077425A">
            <w:pPr>
              <w:pStyle w:val="TableText"/>
              <w:rPr>
                <w:rFonts w:ascii="Tw Cen MT" w:hAnsi="Tw Cen MT"/>
              </w:rPr>
            </w:pPr>
            <w:r w:rsidRPr="000E063D">
              <w:rPr>
                <w:rFonts w:ascii="Tw Cen MT" w:hAnsi="Tw Cen MT"/>
              </w:rPr>
              <w:t>All District Students</w:t>
            </w:r>
          </w:p>
        </w:tc>
      </w:tr>
      <w:tr w:rsidR="001D544B" w:rsidRPr="000E063D" w14:paraId="2298FCC3" w14:textId="77777777" w:rsidTr="0077425A">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547D556C" w14:textId="77777777" w:rsidR="001D544B" w:rsidRPr="000E063D" w:rsidRDefault="001D544B" w:rsidP="0077425A">
            <w:pPr>
              <w:pStyle w:val="TableText"/>
              <w:rPr>
                <w:rFonts w:ascii="Tw Cen MT" w:hAnsi="Tw Cen MT"/>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FF78D0F" w14:textId="77777777" w:rsidR="001D544B" w:rsidRPr="000E063D" w:rsidRDefault="001D544B" w:rsidP="0077425A">
            <w:pPr>
              <w:pStyle w:val="TableText"/>
              <w:rPr>
                <w:rFonts w:ascii="Tw Cen MT" w:hAnsi="Tw Cen MT"/>
              </w:rPr>
            </w:pPr>
            <w:r w:rsidRPr="000E063D">
              <w:rPr>
                <w:rFonts w:ascii="Tw Cen MT" w:hAnsi="Tw Cen MT"/>
              </w:rPr>
              <w:t>Percent</w:t>
            </w:r>
          </w:p>
          <w:p w14:paraId="6742E653" w14:textId="1F2DA996" w:rsidR="00FD3351" w:rsidRPr="000E063D" w:rsidRDefault="00FD3351" w:rsidP="0077425A">
            <w:pPr>
              <w:pStyle w:val="TableText"/>
              <w:rPr>
                <w:rFonts w:ascii="Tw Cen MT" w:hAnsi="Tw Cen MT"/>
              </w:rPr>
            </w:pPr>
            <w:r w:rsidRPr="000E063D">
              <w:rPr>
                <w:rFonts w:ascii="Tw Cen MT" w:hAnsi="Tw Cen MT"/>
              </w:rP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8AF30B" w14:textId="77777777" w:rsidR="001D544B" w:rsidRPr="000E063D" w:rsidRDefault="001D544B" w:rsidP="0077425A">
            <w:pPr>
              <w:pStyle w:val="TableText"/>
              <w:rPr>
                <w:rFonts w:ascii="Tw Cen MT" w:hAnsi="Tw Cen MT"/>
              </w:rPr>
            </w:pPr>
            <w:r w:rsidRPr="000E063D">
              <w:rPr>
                <w:rFonts w:ascii="Tw Cen MT" w:hAnsi="Tw Cen MT"/>
              </w:rPr>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7ACC9D27" w14:textId="77777777" w:rsidR="001D544B" w:rsidRPr="000E063D" w:rsidRDefault="001D544B" w:rsidP="0077425A">
            <w:pPr>
              <w:pStyle w:val="TableText"/>
              <w:rPr>
                <w:rFonts w:ascii="Tw Cen MT" w:hAnsi="Tw Cen MT"/>
              </w:rPr>
            </w:pPr>
            <w:r w:rsidRPr="000E063D">
              <w:rPr>
                <w:rFonts w:ascii="Tw Cen MT" w:hAnsi="Tw Cen MT"/>
              </w:rPr>
              <w:t>Percent</w:t>
            </w:r>
          </w:p>
          <w:p w14:paraId="499AAE42" w14:textId="35C51C9E" w:rsidR="00FD3351" w:rsidRPr="000E063D" w:rsidRDefault="00FD3351" w:rsidP="0077425A">
            <w:pPr>
              <w:pStyle w:val="TableText"/>
              <w:rPr>
                <w:rFonts w:ascii="Tw Cen MT" w:hAnsi="Tw Cen MT"/>
              </w:rPr>
            </w:pPr>
            <w:r w:rsidRPr="000E063D">
              <w:rPr>
                <w:rFonts w:ascii="Tw Cen MT" w:hAnsi="Tw Cen MT"/>
              </w:rP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4E1BFBD5" w14:textId="77777777" w:rsidR="001D544B" w:rsidRPr="000E063D" w:rsidRDefault="001D544B" w:rsidP="0077425A">
            <w:pPr>
              <w:pStyle w:val="TableText"/>
              <w:rPr>
                <w:rFonts w:ascii="Tw Cen MT" w:hAnsi="Tw Cen MT"/>
              </w:rPr>
            </w:pPr>
            <w:r w:rsidRPr="000E063D">
              <w:rPr>
                <w:rFonts w:ascii="Tw Cen MT" w:hAnsi="Tw Cen MT"/>
              </w:rPr>
              <w:t>Number Tested</w:t>
            </w:r>
          </w:p>
        </w:tc>
      </w:tr>
      <w:tr w:rsidR="004A1F5A" w:rsidRPr="000E063D" w14:paraId="2385F353"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2258B45" w14:textId="77777777" w:rsidR="004A1F5A" w:rsidRPr="000E063D" w:rsidRDefault="004A1F5A" w:rsidP="004A1F5A">
            <w:pPr>
              <w:pStyle w:val="TableText"/>
              <w:rPr>
                <w:rFonts w:ascii="Tw Cen MT" w:hAnsi="Tw Cen MT"/>
              </w:rPr>
            </w:pPr>
            <w:r w:rsidRPr="000E063D">
              <w:rPr>
                <w:rFonts w:ascii="Tw Cen MT" w:hAnsi="Tw Cen MT"/>
              </w:rPr>
              <w:t>3</w:t>
            </w:r>
          </w:p>
        </w:tc>
        <w:tc>
          <w:tcPr>
            <w:tcW w:w="1156" w:type="dxa"/>
            <w:tcBorders>
              <w:top w:val="single" w:sz="4" w:space="0" w:color="auto"/>
              <w:bottom w:val="dashed" w:sz="4" w:space="0" w:color="auto"/>
            </w:tcBorders>
            <w:shd w:val="clear" w:color="auto" w:fill="auto"/>
            <w:vAlign w:val="center"/>
          </w:tcPr>
          <w:p w14:paraId="555CCC61" w14:textId="33B1F18E" w:rsidR="004A1F5A" w:rsidRPr="000E063D" w:rsidRDefault="004A1F5A" w:rsidP="004A1F5A">
            <w:pPr>
              <w:pStyle w:val="TableText"/>
              <w:rPr>
                <w:rFonts w:ascii="Tw Cen MT" w:hAnsi="Tw Cen MT"/>
              </w:rPr>
            </w:pPr>
            <w:r w:rsidRPr="000E063D">
              <w:rPr>
                <w:rFonts w:ascii="Tw Cen MT" w:hAnsi="Tw Cen MT"/>
              </w:rPr>
              <w:t>12%</w:t>
            </w:r>
          </w:p>
        </w:tc>
        <w:tc>
          <w:tcPr>
            <w:tcW w:w="1156" w:type="dxa"/>
            <w:tcBorders>
              <w:top w:val="single" w:sz="4" w:space="0" w:color="auto"/>
              <w:bottom w:val="dashed" w:sz="4" w:space="0" w:color="auto"/>
              <w:right w:val="single" w:sz="4" w:space="0" w:color="auto"/>
            </w:tcBorders>
            <w:vAlign w:val="center"/>
          </w:tcPr>
          <w:p w14:paraId="641977CF" w14:textId="4C8C97B9" w:rsidR="004A1F5A" w:rsidRPr="000E063D" w:rsidRDefault="004A1F5A" w:rsidP="004A1F5A">
            <w:pPr>
              <w:pStyle w:val="TableText"/>
              <w:rPr>
                <w:rFonts w:ascii="Tw Cen MT" w:hAnsi="Tw Cen MT"/>
              </w:rPr>
            </w:pPr>
            <w:r w:rsidRPr="000E063D">
              <w:rPr>
                <w:rFonts w:ascii="Tw Cen MT" w:hAnsi="Tw Cen MT"/>
              </w:rPr>
              <w:t>50</w:t>
            </w:r>
          </w:p>
        </w:tc>
        <w:tc>
          <w:tcPr>
            <w:tcW w:w="1156" w:type="dxa"/>
            <w:tcBorders>
              <w:top w:val="single" w:sz="4" w:space="0" w:color="auto"/>
              <w:bottom w:val="dashed" w:sz="4" w:space="0" w:color="auto"/>
              <w:right w:val="single" w:sz="4" w:space="0" w:color="auto"/>
            </w:tcBorders>
          </w:tcPr>
          <w:p w14:paraId="4016207B" w14:textId="77777777" w:rsidR="004A1F5A" w:rsidRPr="000E063D" w:rsidRDefault="004A1F5A" w:rsidP="004A1F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2BE8F82F" w14:textId="77777777" w:rsidR="004A1F5A" w:rsidRPr="000E063D" w:rsidRDefault="004A1F5A" w:rsidP="004A1F5A">
            <w:pPr>
              <w:pStyle w:val="TableText"/>
              <w:rPr>
                <w:rFonts w:ascii="Tw Cen MT" w:hAnsi="Tw Cen MT"/>
              </w:rPr>
            </w:pPr>
          </w:p>
        </w:tc>
      </w:tr>
      <w:tr w:rsidR="004A1F5A" w:rsidRPr="000E063D" w14:paraId="549BA732" w14:textId="77777777" w:rsidTr="007742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D47F3B" w14:textId="77777777" w:rsidR="004A1F5A" w:rsidRPr="000E063D" w:rsidRDefault="004A1F5A" w:rsidP="004A1F5A">
            <w:pPr>
              <w:pStyle w:val="TableText"/>
              <w:rPr>
                <w:rFonts w:ascii="Tw Cen MT" w:hAnsi="Tw Cen MT"/>
              </w:rPr>
            </w:pPr>
            <w:r w:rsidRPr="000E063D">
              <w:rPr>
                <w:rFonts w:ascii="Tw Cen MT" w:hAnsi="Tw Cen MT"/>
              </w:rPr>
              <w:t>4</w:t>
            </w:r>
          </w:p>
        </w:tc>
        <w:tc>
          <w:tcPr>
            <w:tcW w:w="1156" w:type="dxa"/>
            <w:tcBorders>
              <w:top w:val="single" w:sz="4" w:space="0" w:color="auto"/>
              <w:bottom w:val="dashed" w:sz="4" w:space="0" w:color="auto"/>
            </w:tcBorders>
            <w:shd w:val="clear" w:color="auto" w:fill="auto"/>
            <w:vAlign w:val="center"/>
          </w:tcPr>
          <w:p w14:paraId="4721F098" w14:textId="48A56474" w:rsidR="004A1F5A" w:rsidRPr="000E063D" w:rsidRDefault="004A1F5A" w:rsidP="004A1F5A">
            <w:pPr>
              <w:pStyle w:val="TableText"/>
              <w:rPr>
                <w:rFonts w:ascii="Tw Cen MT" w:hAnsi="Tw Cen MT"/>
              </w:rPr>
            </w:pPr>
            <w:r w:rsidRPr="000E063D">
              <w:rPr>
                <w:rFonts w:ascii="Tw Cen MT" w:hAnsi="Tw Cen MT"/>
              </w:rPr>
              <w:t>4%</w:t>
            </w:r>
          </w:p>
        </w:tc>
        <w:tc>
          <w:tcPr>
            <w:tcW w:w="1156" w:type="dxa"/>
            <w:tcBorders>
              <w:top w:val="single" w:sz="4" w:space="0" w:color="auto"/>
              <w:bottom w:val="dashed" w:sz="4" w:space="0" w:color="auto"/>
              <w:right w:val="single" w:sz="4" w:space="0" w:color="auto"/>
            </w:tcBorders>
            <w:vAlign w:val="center"/>
          </w:tcPr>
          <w:p w14:paraId="7C17E237" w14:textId="0C0BA497" w:rsidR="004A1F5A" w:rsidRPr="000E063D" w:rsidRDefault="004A1F5A" w:rsidP="004A1F5A">
            <w:pPr>
              <w:pStyle w:val="TableText"/>
              <w:rPr>
                <w:rFonts w:ascii="Tw Cen MT" w:hAnsi="Tw Cen MT"/>
              </w:rPr>
            </w:pPr>
            <w:r w:rsidRPr="000E063D">
              <w:rPr>
                <w:rFonts w:ascii="Tw Cen MT" w:hAnsi="Tw Cen MT"/>
              </w:rPr>
              <w:t>50</w:t>
            </w:r>
          </w:p>
        </w:tc>
        <w:tc>
          <w:tcPr>
            <w:tcW w:w="1156" w:type="dxa"/>
            <w:tcBorders>
              <w:top w:val="single" w:sz="4" w:space="0" w:color="auto"/>
              <w:bottom w:val="dashed" w:sz="4" w:space="0" w:color="auto"/>
              <w:right w:val="single" w:sz="4" w:space="0" w:color="auto"/>
            </w:tcBorders>
          </w:tcPr>
          <w:p w14:paraId="3B4E4082" w14:textId="77777777" w:rsidR="004A1F5A" w:rsidRPr="000E063D" w:rsidRDefault="004A1F5A" w:rsidP="004A1F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440D7DB0" w14:textId="77777777" w:rsidR="004A1F5A" w:rsidRPr="000E063D" w:rsidRDefault="004A1F5A" w:rsidP="004A1F5A">
            <w:pPr>
              <w:pStyle w:val="TableText"/>
              <w:rPr>
                <w:rFonts w:ascii="Tw Cen MT" w:hAnsi="Tw Cen MT"/>
              </w:rPr>
            </w:pPr>
          </w:p>
        </w:tc>
      </w:tr>
      <w:tr w:rsidR="001D544B" w:rsidRPr="000E063D" w14:paraId="54B950AF" w14:textId="77777777" w:rsidTr="004A1F5A">
        <w:trPr>
          <w:jc w:val="center"/>
        </w:trPr>
        <w:tc>
          <w:tcPr>
            <w:tcW w:w="783" w:type="dxa"/>
            <w:tcBorders>
              <w:top w:val="single" w:sz="4" w:space="0" w:color="auto"/>
              <w:left w:val="single" w:sz="4" w:space="0" w:color="auto"/>
              <w:bottom w:val="dashed" w:sz="4" w:space="0" w:color="auto"/>
            </w:tcBorders>
            <w:shd w:val="clear" w:color="auto" w:fill="auto"/>
            <w:vAlign w:val="center"/>
          </w:tcPr>
          <w:p w14:paraId="726A1655" w14:textId="77777777" w:rsidR="001D544B" w:rsidRPr="000E063D" w:rsidRDefault="001D544B" w:rsidP="0077425A">
            <w:pPr>
              <w:pStyle w:val="TableText"/>
              <w:rPr>
                <w:rFonts w:ascii="Tw Cen MT" w:hAnsi="Tw Cen MT"/>
              </w:rPr>
            </w:pPr>
            <w:r w:rsidRPr="000E063D">
              <w:rPr>
                <w:rFonts w:ascii="Tw Cen MT" w:hAnsi="Tw Cen MT"/>
              </w:rPr>
              <w:t>5</w:t>
            </w:r>
          </w:p>
        </w:tc>
        <w:tc>
          <w:tcPr>
            <w:tcW w:w="1156" w:type="dxa"/>
            <w:tcBorders>
              <w:top w:val="single" w:sz="4" w:space="0" w:color="auto"/>
              <w:bottom w:val="dashed" w:sz="4" w:space="0" w:color="auto"/>
            </w:tcBorders>
            <w:shd w:val="clear" w:color="auto" w:fill="000000" w:themeFill="text1"/>
            <w:vAlign w:val="center"/>
          </w:tcPr>
          <w:p w14:paraId="6AE7ADAB"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54FE5D73"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3D53E702"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56D21696" w14:textId="77777777" w:rsidR="001D544B" w:rsidRPr="000E063D" w:rsidRDefault="001D544B" w:rsidP="0077425A">
            <w:pPr>
              <w:pStyle w:val="TableText"/>
              <w:rPr>
                <w:rFonts w:ascii="Tw Cen MT" w:hAnsi="Tw Cen MT"/>
              </w:rPr>
            </w:pPr>
          </w:p>
        </w:tc>
      </w:tr>
      <w:tr w:rsidR="001D544B" w:rsidRPr="000E063D" w14:paraId="73319F25" w14:textId="77777777" w:rsidTr="004A1F5A">
        <w:trPr>
          <w:jc w:val="center"/>
        </w:trPr>
        <w:tc>
          <w:tcPr>
            <w:tcW w:w="783" w:type="dxa"/>
            <w:tcBorders>
              <w:top w:val="single" w:sz="4" w:space="0" w:color="auto"/>
              <w:left w:val="single" w:sz="4" w:space="0" w:color="auto"/>
              <w:bottom w:val="dashed" w:sz="4" w:space="0" w:color="auto"/>
            </w:tcBorders>
            <w:shd w:val="clear" w:color="auto" w:fill="auto"/>
            <w:vAlign w:val="center"/>
          </w:tcPr>
          <w:p w14:paraId="64591B65" w14:textId="77777777" w:rsidR="001D544B" w:rsidRPr="000E063D" w:rsidRDefault="001D544B" w:rsidP="0077425A">
            <w:pPr>
              <w:pStyle w:val="TableText"/>
              <w:rPr>
                <w:rFonts w:ascii="Tw Cen MT" w:hAnsi="Tw Cen MT"/>
              </w:rPr>
            </w:pPr>
            <w:r w:rsidRPr="000E063D">
              <w:rPr>
                <w:rFonts w:ascii="Tw Cen MT" w:hAnsi="Tw Cen MT"/>
              </w:rPr>
              <w:t>6</w:t>
            </w:r>
          </w:p>
        </w:tc>
        <w:tc>
          <w:tcPr>
            <w:tcW w:w="1156" w:type="dxa"/>
            <w:tcBorders>
              <w:top w:val="single" w:sz="4" w:space="0" w:color="auto"/>
              <w:bottom w:val="dashed" w:sz="4" w:space="0" w:color="auto"/>
            </w:tcBorders>
            <w:shd w:val="clear" w:color="auto" w:fill="000000" w:themeFill="text1"/>
            <w:vAlign w:val="center"/>
          </w:tcPr>
          <w:p w14:paraId="497CD904"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559E5ACC"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370E36FA"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375FD9C1" w14:textId="77777777" w:rsidR="001D544B" w:rsidRPr="000E063D" w:rsidRDefault="001D544B" w:rsidP="0077425A">
            <w:pPr>
              <w:pStyle w:val="TableText"/>
              <w:rPr>
                <w:rFonts w:ascii="Tw Cen MT" w:hAnsi="Tw Cen MT"/>
              </w:rPr>
            </w:pPr>
          </w:p>
        </w:tc>
      </w:tr>
      <w:tr w:rsidR="001D544B" w:rsidRPr="000E063D" w14:paraId="24212177" w14:textId="77777777" w:rsidTr="004A1F5A">
        <w:trPr>
          <w:jc w:val="center"/>
        </w:trPr>
        <w:tc>
          <w:tcPr>
            <w:tcW w:w="783" w:type="dxa"/>
            <w:tcBorders>
              <w:top w:val="single" w:sz="4" w:space="0" w:color="auto"/>
              <w:left w:val="single" w:sz="4" w:space="0" w:color="auto"/>
              <w:bottom w:val="dashed" w:sz="4" w:space="0" w:color="auto"/>
            </w:tcBorders>
            <w:shd w:val="clear" w:color="auto" w:fill="auto"/>
            <w:vAlign w:val="center"/>
          </w:tcPr>
          <w:p w14:paraId="51B34D12" w14:textId="77777777" w:rsidR="001D544B" w:rsidRPr="000E063D" w:rsidRDefault="001D544B" w:rsidP="0077425A">
            <w:pPr>
              <w:pStyle w:val="TableText"/>
              <w:rPr>
                <w:rFonts w:ascii="Tw Cen MT" w:hAnsi="Tw Cen MT"/>
              </w:rPr>
            </w:pPr>
            <w:r w:rsidRPr="000E063D">
              <w:rPr>
                <w:rFonts w:ascii="Tw Cen MT" w:hAnsi="Tw Cen MT"/>
              </w:rPr>
              <w:t>7</w:t>
            </w:r>
          </w:p>
        </w:tc>
        <w:tc>
          <w:tcPr>
            <w:tcW w:w="1156" w:type="dxa"/>
            <w:tcBorders>
              <w:top w:val="single" w:sz="4" w:space="0" w:color="auto"/>
              <w:bottom w:val="dashed" w:sz="4" w:space="0" w:color="auto"/>
            </w:tcBorders>
            <w:shd w:val="clear" w:color="auto" w:fill="000000" w:themeFill="text1"/>
            <w:vAlign w:val="center"/>
          </w:tcPr>
          <w:p w14:paraId="66A0847A"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37072D77"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2967EC59" w14:textId="77777777" w:rsidR="001D544B" w:rsidRPr="000E063D" w:rsidRDefault="001D544B" w:rsidP="0077425A">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12E2DC11" w14:textId="77777777" w:rsidR="001D544B" w:rsidRPr="000E063D" w:rsidRDefault="001D544B" w:rsidP="0077425A">
            <w:pPr>
              <w:pStyle w:val="TableText"/>
              <w:rPr>
                <w:rFonts w:ascii="Tw Cen MT" w:hAnsi="Tw Cen MT"/>
              </w:rPr>
            </w:pPr>
          </w:p>
        </w:tc>
      </w:tr>
      <w:tr w:rsidR="001D544B" w:rsidRPr="000E063D" w14:paraId="0544FD8E" w14:textId="77777777" w:rsidTr="004A1F5A">
        <w:trPr>
          <w:jc w:val="center"/>
        </w:trPr>
        <w:tc>
          <w:tcPr>
            <w:tcW w:w="783" w:type="dxa"/>
            <w:tcBorders>
              <w:top w:val="single" w:sz="4" w:space="0" w:color="auto"/>
              <w:left w:val="single" w:sz="4" w:space="0" w:color="auto"/>
              <w:bottom w:val="double" w:sz="4" w:space="0" w:color="auto"/>
            </w:tcBorders>
            <w:shd w:val="clear" w:color="auto" w:fill="auto"/>
            <w:vAlign w:val="center"/>
          </w:tcPr>
          <w:p w14:paraId="260D88EE" w14:textId="77777777" w:rsidR="001D544B" w:rsidRPr="000E063D" w:rsidRDefault="001D544B" w:rsidP="0077425A">
            <w:pPr>
              <w:pStyle w:val="TableText"/>
              <w:rPr>
                <w:rFonts w:ascii="Tw Cen MT" w:hAnsi="Tw Cen MT"/>
              </w:rPr>
            </w:pPr>
            <w:r w:rsidRPr="000E063D">
              <w:rPr>
                <w:rFonts w:ascii="Tw Cen MT" w:hAnsi="Tw Cen MT"/>
              </w:rPr>
              <w:t>8</w:t>
            </w:r>
          </w:p>
        </w:tc>
        <w:tc>
          <w:tcPr>
            <w:tcW w:w="1156" w:type="dxa"/>
            <w:tcBorders>
              <w:top w:val="single" w:sz="4" w:space="0" w:color="auto"/>
              <w:bottom w:val="double" w:sz="4" w:space="0" w:color="auto"/>
            </w:tcBorders>
            <w:shd w:val="clear" w:color="auto" w:fill="000000" w:themeFill="text1"/>
            <w:vAlign w:val="center"/>
          </w:tcPr>
          <w:p w14:paraId="704ADCDD" w14:textId="77777777" w:rsidR="001D544B" w:rsidRPr="000E063D" w:rsidRDefault="001D544B" w:rsidP="0077425A">
            <w:pPr>
              <w:pStyle w:val="TableText"/>
              <w:rPr>
                <w:rFonts w:ascii="Tw Cen MT" w:hAnsi="Tw Cen MT"/>
              </w:rPr>
            </w:pPr>
          </w:p>
        </w:tc>
        <w:tc>
          <w:tcPr>
            <w:tcW w:w="1156" w:type="dxa"/>
            <w:tcBorders>
              <w:top w:val="single" w:sz="4" w:space="0" w:color="auto"/>
              <w:bottom w:val="double" w:sz="4" w:space="0" w:color="auto"/>
              <w:right w:val="single" w:sz="4" w:space="0" w:color="auto"/>
            </w:tcBorders>
            <w:shd w:val="clear" w:color="auto" w:fill="000000" w:themeFill="text1"/>
            <w:vAlign w:val="center"/>
          </w:tcPr>
          <w:p w14:paraId="0307F24A" w14:textId="77777777" w:rsidR="001D544B" w:rsidRPr="000E063D" w:rsidRDefault="001D544B" w:rsidP="0077425A">
            <w:pPr>
              <w:pStyle w:val="TableText"/>
              <w:rPr>
                <w:rFonts w:ascii="Tw Cen MT" w:hAnsi="Tw Cen MT"/>
              </w:rPr>
            </w:pPr>
          </w:p>
        </w:tc>
        <w:tc>
          <w:tcPr>
            <w:tcW w:w="1156" w:type="dxa"/>
            <w:tcBorders>
              <w:top w:val="single" w:sz="4" w:space="0" w:color="auto"/>
              <w:bottom w:val="double" w:sz="4" w:space="0" w:color="auto"/>
              <w:right w:val="single" w:sz="4" w:space="0" w:color="auto"/>
            </w:tcBorders>
          </w:tcPr>
          <w:p w14:paraId="62E6B8DA" w14:textId="77777777" w:rsidR="001D544B" w:rsidRPr="000E063D" w:rsidRDefault="001D544B" w:rsidP="0077425A">
            <w:pPr>
              <w:pStyle w:val="TableText"/>
              <w:rPr>
                <w:rFonts w:ascii="Tw Cen MT" w:hAnsi="Tw Cen MT"/>
              </w:rPr>
            </w:pPr>
          </w:p>
        </w:tc>
        <w:tc>
          <w:tcPr>
            <w:tcW w:w="1156" w:type="dxa"/>
            <w:tcBorders>
              <w:top w:val="single" w:sz="4" w:space="0" w:color="auto"/>
              <w:bottom w:val="double" w:sz="4" w:space="0" w:color="auto"/>
              <w:right w:val="single" w:sz="4" w:space="0" w:color="auto"/>
            </w:tcBorders>
          </w:tcPr>
          <w:p w14:paraId="484E7756" w14:textId="77777777" w:rsidR="001D544B" w:rsidRPr="000E063D" w:rsidRDefault="001D544B" w:rsidP="0077425A">
            <w:pPr>
              <w:pStyle w:val="TableText"/>
              <w:rPr>
                <w:rFonts w:ascii="Tw Cen MT" w:hAnsi="Tw Cen MT"/>
              </w:rPr>
            </w:pPr>
          </w:p>
        </w:tc>
      </w:tr>
      <w:tr w:rsidR="001D544B" w:rsidRPr="000E063D" w14:paraId="70F41D92" w14:textId="77777777" w:rsidTr="0077425A">
        <w:trPr>
          <w:jc w:val="center"/>
        </w:trPr>
        <w:tc>
          <w:tcPr>
            <w:tcW w:w="783" w:type="dxa"/>
            <w:tcBorders>
              <w:top w:val="double" w:sz="4" w:space="0" w:color="auto"/>
              <w:left w:val="single" w:sz="4" w:space="0" w:color="auto"/>
              <w:bottom w:val="double" w:sz="4" w:space="0" w:color="auto"/>
            </w:tcBorders>
            <w:shd w:val="clear" w:color="auto" w:fill="auto"/>
            <w:vAlign w:val="center"/>
          </w:tcPr>
          <w:p w14:paraId="42BFE5DC" w14:textId="77777777" w:rsidR="001D544B" w:rsidRPr="000E063D" w:rsidRDefault="001D544B" w:rsidP="0077425A">
            <w:pPr>
              <w:pStyle w:val="TableText"/>
              <w:rPr>
                <w:rFonts w:ascii="Tw Cen MT" w:hAnsi="Tw Cen MT"/>
              </w:rPr>
            </w:pPr>
            <w:r w:rsidRPr="000E063D">
              <w:rPr>
                <w:rFonts w:ascii="Tw Cen MT" w:hAnsi="Tw Cen MT"/>
              </w:rPr>
              <w:t>All</w:t>
            </w:r>
          </w:p>
        </w:tc>
        <w:tc>
          <w:tcPr>
            <w:tcW w:w="1156" w:type="dxa"/>
            <w:tcBorders>
              <w:top w:val="double" w:sz="4" w:space="0" w:color="auto"/>
              <w:bottom w:val="double" w:sz="4" w:space="0" w:color="auto"/>
            </w:tcBorders>
            <w:shd w:val="clear" w:color="auto" w:fill="auto"/>
            <w:vAlign w:val="center"/>
          </w:tcPr>
          <w:p w14:paraId="56E20861" w14:textId="3D6F5CD7" w:rsidR="001D544B" w:rsidRPr="000E063D" w:rsidRDefault="004A1F5A" w:rsidP="0077425A">
            <w:pPr>
              <w:pStyle w:val="TableText"/>
              <w:rPr>
                <w:rFonts w:ascii="Tw Cen MT" w:hAnsi="Tw Cen MT"/>
              </w:rPr>
            </w:pPr>
            <w:r w:rsidRPr="000E063D">
              <w:rPr>
                <w:rFonts w:ascii="Tw Cen MT" w:hAnsi="Tw Cen MT"/>
              </w:rPr>
              <w:t>8%</w:t>
            </w:r>
          </w:p>
        </w:tc>
        <w:tc>
          <w:tcPr>
            <w:tcW w:w="1156" w:type="dxa"/>
            <w:tcBorders>
              <w:top w:val="double" w:sz="4" w:space="0" w:color="auto"/>
              <w:bottom w:val="double" w:sz="4" w:space="0" w:color="auto"/>
              <w:right w:val="single" w:sz="4" w:space="0" w:color="auto"/>
            </w:tcBorders>
            <w:vAlign w:val="center"/>
          </w:tcPr>
          <w:p w14:paraId="38685AD0" w14:textId="09264BFB" w:rsidR="001D544B" w:rsidRPr="000E063D" w:rsidRDefault="004A1F5A" w:rsidP="0077425A">
            <w:pPr>
              <w:pStyle w:val="TableText"/>
              <w:rPr>
                <w:rFonts w:ascii="Tw Cen MT" w:hAnsi="Tw Cen MT"/>
              </w:rPr>
            </w:pPr>
            <w:r w:rsidRPr="000E063D">
              <w:rPr>
                <w:rFonts w:ascii="Tw Cen MT" w:hAnsi="Tw Cen MT"/>
              </w:rPr>
              <w:t>100</w:t>
            </w:r>
          </w:p>
        </w:tc>
        <w:tc>
          <w:tcPr>
            <w:tcW w:w="1156" w:type="dxa"/>
            <w:tcBorders>
              <w:top w:val="double" w:sz="4" w:space="0" w:color="auto"/>
              <w:bottom w:val="double" w:sz="4" w:space="0" w:color="auto"/>
              <w:right w:val="single" w:sz="4" w:space="0" w:color="auto"/>
            </w:tcBorders>
          </w:tcPr>
          <w:p w14:paraId="1670B4C8" w14:textId="77777777" w:rsidR="001D544B" w:rsidRPr="000E063D" w:rsidRDefault="001D544B" w:rsidP="0077425A">
            <w:pPr>
              <w:pStyle w:val="TableText"/>
              <w:rPr>
                <w:rFonts w:ascii="Tw Cen MT" w:hAnsi="Tw Cen MT"/>
              </w:rPr>
            </w:pPr>
          </w:p>
        </w:tc>
        <w:tc>
          <w:tcPr>
            <w:tcW w:w="1156" w:type="dxa"/>
            <w:tcBorders>
              <w:top w:val="double" w:sz="4" w:space="0" w:color="auto"/>
              <w:bottom w:val="double" w:sz="4" w:space="0" w:color="auto"/>
              <w:right w:val="single" w:sz="4" w:space="0" w:color="auto"/>
            </w:tcBorders>
          </w:tcPr>
          <w:p w14:paraId="7CD4209D" w14:textId="77777777" w:rsidR="001D544B" w:rsidRPr="000E063D" w:rsidRDefault="001D544B" w:rsidP="0077425A">
            <w:pPr>
              <w:pStyle w:val="TableText"/>
              <w:rPr>
                <w:rFonts w:ascii="Tw Cen MT" w:hAnsi="Tw Cen MT"/>
              </w:rPr>
            </w:pPr>
          </w:p>
        </w:tc>
      </w:tr>
    </w:tbl>
    <w:p w14:paraId="0059D298" w14:textId="77777777" w:rsidR="001D544B" w:rsidRPr="000E063D" w:rsidRDefault="001D544B" w:rsidP="001D544B">
      <w:pPr>
        <w:rPr>
          <w:rFonts w:ascii="Tw Cen MT" w:hAnsi="Tw Cen MT"/>
          <w:szCs w:val="23"/>
        </w:rPr>
      </w:pPr>
    </w:p>
    <w:p w14:paraId="10F0B664" w14:textId="1AD2E7DC" w:rsidR="001D544B" w:rsidRPr="000E063D" w:rsidRDefault="001D544B" w:rsidP="001D544B">
      <w:pPr>
        <w:pStyle w:val="MeasureTitle"/>
        <w:rPr>
          <w:rFonts w:ascii="Tw Cen MT" w:hAnsi="Tw Cen MT"/>
        </w:rPr>
      </w:pPr>
      <w:r w:rsidRPr="000E063D">
        <w:rPr>
          <w:rFonts w:ascii="Tw Cen MT" w:hAnsi="Tw Cen MT"/>
        </w:rPr>
        <w:t xml:space="preserve">Goal </w:t>
      </w:r>
      <w:r w:rsidR="00887AA2" w:rsidRPr="000E063D">
        <w:rPr>
          <w:rFonts w:ascii="Tw Cen MT" w:hAnsi="Tw Cen MT"/>
        </w:rPr>
        <w:t>1</w:t>
      </w:r>
      <w:r w:rsidRPr="000E063D">
        <w:rPr>
          <w:rFonts w:ascii="Tw Cen MT" w:hAnsi="Tw Cen MT"/>
        </w:rPr>
        <w:t>: Comparative Measure</w:t>
      </w:r>
    </w:p>
    <w:p w14:paraId="5BCDA730" w14:textId="1BFAF612" w:rsidR="001D544B" w:rsidRPr="000E063D" w:rsidRDefault="001D544B" w:rsidP="00FD3351">
      <w:pPr>
        <w:pStyle w:val="MeasureText"/>
        <w:rPr>
          <w:rFonts w:ascii="Tw Cen MT" w:hAnsi="Tw Cen MT"/>
          <w:i/>
        </w:rPr>
      </w:pPr>
      <w:r w:rsidRPr="000E063D">
        <w:rPr>
          <w:rFonts w:ascii="Tw Cen MT" w:hAnsi="Tw Cen MT"/>
        </w:rPr>
        <w:t xml:space="preserve">Each year, the school will exceed its predicted level of performance on the state English language arts exam by </w:t>
      </w:r>
      <w:r w:rsidRPr="000E063D">
        <w:rPr>
          <w:rFonts w:ascii="Tw Cen MT" w:hAnsi="Tw Cen MT"/>
          <w:sz w:val="24"/>
          <w:szCs w:val="24"/>
        </w:rPr>
        <w:t xml:space="preserve">an effect size of 0.3 or above (performing higher than expected to a meaningful degree) </w:t>
      </w:r>
      <w:r w:rsidRPr="000E063D">
        <w:rPr>
          <w:rFonts w:ascii="Tw Cen MT" w:hAnsi="Tw Cen MT"/>
        </w:rPr>
        <w:t>according to a regression analysis controlling for economically disadvantaged students among all public schools in New York State.</w:t>
      </w:r>
    </w:p>
    <w:p w14:paraId="6F48767E" w14:textId="3D772E30" w:rsidR="001D544B" w:rsidRPr="000E063D" w:rsidRDefault="001D544B" w:rsidP="001D544B">
      <w:pPr>
        <w:rPr>
          <w:rFonts w:ascii="Tw Cen MT" w:hAnsi="Tw Cen MT"/>
        </w:rPr>
      </w:pPr>
      <w:r w:rsidRPr="000E063D">
        <w:rPr>
          <w:rFonts w:ascii="Tw Cen MT" w:hAnsi="Tw Cen MT"/>
        </w:rPr>
        <w:t xml:space="preserve">The </w:t>
      </w:r>
      <w:r w:rsidR="00FD3351" w:rsidRPr="000E063D">
        <w:rPr>
          <w:rFonts w:ascii="Tw Cen MT" w:hAnsi="Tw Cen MT"/>
        </w:rPr>
        <w:t>Institute</w:t>
      </w:r>
      <w:r w:rsidRPr="000E063D">
        <w:rPr>
          <w:rFonts w:ascii="Tw Cen MT" w:hAnsi="Tw Cen MT"/>
        </w:rPr>
        <w:t xml:space="preserve"> conducts a comparative performance analysis which compares the school’s performance to that of demographically similar public schools statewide.</w:t>
      </w:r>
      <w:r w:rsidR="00FD3351" w:rsidRPr="000E063D">
        <w:rPr>
          <w:rFonts w:ascii="Tw Cen MT" w:hAnsi="Tw Cen MT"/>
        </w:rPr>
        <w:t xml:space="preserve">  </w:t>
      </w:r>
      <w:r w:rsidRPr="000E063D">
        <w:rPr>
          <w:rFonts w:ascii="Tw Cen MT" w:hAnsi="Tw Cen MT"/>
        </w:rPr>
        <w:t>Given the timing of the state’s release of</w:t>
      </w:r>
      <w:r w:rsidR="00FD3351" w:rsidRPr="000E063D">
        <w:rPr>
          <w:rFonts w:ascii="Tw Cen MT" w:hAnsi="Tw Cen MT"/>
        </w:rPr>
        <w:t xml:space="preserve"> </w:t>
      </w:r>
      <w:r w:rsidRPr="000E063D">
        <w:rPr>
          <w:rFonts w:ascii="Tw Cen MT" w:hAnsi="Tw Cen MT"/>
        </w:rPr>
        <w:t>data</w:t>
      </w:r>
      <w:r w:rsidR="00FD3351" w:rsidRPr="000E063D">
        <w:rPr>
          <w:rFonts w:ascii="Tw Cen MT" w:hAnsi="Tw Cen MT"/>
        </w:rPr>
        <w:t xml:space="preserve"> necessary to produce this analysis</w:t>
      </w:r>
      <w:r w:rsidRPr="000E063D">
        <w:rPr>
          <w:rFonts w:ascii="Tw Cen MT" w:hAnsi="Tw Cen MT"/>
        </w:rPr>
        <w:t>, the 20</w:t>
      </w:r>
      <w:r w:rsidR="00FD3351" w:rsidRPr="000E063D">
        <w:rPr>
          <w:rFonts w:ascii="Tw Cen MT" w:hAnsi="Tw Cen MT"/>
        </w:rPr>
        <w:t>21</w:t>
      </w:r>
      <w:r w:rsidRPr="000E063D">
        <w:rPr>
          <w:rFonts w:ascii="Tw Cen MT" w:hAnsi="Tw Cen MT"/>
        </w:rPr>
        <w:t>-</w:t>
      </w:r>
      <w:r w:rsidR="00FD3351" w:rsidRPr="000E063D">
        <w:rPr>
          <w:rFonts w:ascii="Tw Cen MT" w:hAnsi="Tw Cen MT"/>
        </w:rPr>
        <w:t>22</w:t>
      </w:r>
      <w:r w:rsidRPr="000E063D">
        <w:rPr>
          <w:rFonts w:ascii="Tw Cen MT" w:hAnsi="Tw Cen MT"/>
        </w:rPr>
        <w:t xml:space="preserve"> </w:t>
      </w:r>
      <w:r w:rsidR="00FD3351" w:rsidRPr="000E063D">
        <w:rPr>
          <w:rFonts w:ascii="Tw Cen MT" w:hAnsi="Tw Cen MT"/>
        </w:rPr>
        <w:t>results</w:t>
      </w:r>
      <w:r w:rsidRPr="000E063D">
        <w:rPr>
          <w:rFonts w:ascii="Tw Cen MT" w:hAnsi="Tw Cen MT"/>
        </w:rPr>
        <w:t xml:space="preserve"> </w:t>
      </w:r>
      <w:r w:rsidR="00FD3351" w:rsidRPr="000E063D">
        <w:rPr>
          <w:rFonts w:ascii="Tw Cen MT" w:hAnsi="Tw Cen MT"/>
        </w:rPr>
        <w:t>are</w:t>
      </w:r>
      <w:r w:rsidRPr="000E063D">
        <w:rPr>
          <w:rFonts w:ascii="Tw Cen MT" w:hAnsi="Tw Cen MT"/>
        </w:rPr>
        <w:t xml:space="preserve"> not yet available. </w:t>
      </w:r>
    </w:p>
    <w:p w14:paraId="1DA771C4" w14:textId="5ACA52AB" w:rsidR="001D544B" w:rsidRDefault="00FD3351" w:rsidP="00D01B3B">
      <w:pPr>
        <w:rPr>
          <w:rFonts w:ascii="Tw Cen MT" w:hAnsi="Tw Cen MT"/>
        </w:rPr>
      </w:pPr>
      <w:r w:rsidRPr="000E063D">
        <w:rPr>
          <w:rFonts w:ascii="Tw Cen MT" w:hAnsi="Tw Cen MT"/>
        </w:rPr>
        <w:t xml:space="preserve">As such, The Institute does not require charters to report on this measure for 2021-22. </w:t>
      </w:r>
    </w:p>
    <w:p w14:paraId="1ED259FE" w14:textId="77777777" w:rsidR="00893764" w:rsidRPr="000E063D" w:rsidRDefault="00893764" w:rsidP="00D01B3B">
      <w:pPr>
        <w:rPr>
          <w:rFonts w:ascii="Tw Cen MT" w:hAnsi="Tw Cen MT"/>
        </w:rPr>
      </w:pPr>
    </w:p>
    <w:p w14:paraId="3BC42021" w14:textId="61BE5BA0" w:rsidR="001D544B" w:rsidRPr="000E063D" w:rsidRDefault="001D544B" w:rsidP="001D544B">
      <w:pPr>
        <w:pStyle w:val="MeasureTitle"/>
        <w:rPr>
          <w:rFonts w:ascii="Tw Cen MT" w:hAnsi="Tw Cen MT"/>
        </w:rPr>
      </w:pPr>
      <w:r w:rsidRPr="000E063D">
        <w:rPr>
          <w:rFonts w:ascii="Tw Cen MT" w:hAnsi="Tw Cen MT"/>
        </w:rPr>
        <w:lastRenderedPageBreak/>
        <w:t xml:space="preserve">Goal </w:t>
      </w:r>
      <w:r w:rsidR="00887AA2" w:rsidRPr="000E063D">
        <w:rPr>
          <w:rFonts w:ascii="Tw Cen MT" w:hAnsi="Tw Cen MT"/>
        </w:rPr>
        <w:t>1</w:t>
      </w:r>
      <w:r w:rsidRPr="000E063D">
        <w:rPr>
          <w:rFonts w:ascii="Tw Cen MT" w:hAnsi="Tw Cen MT"/>
        </w:rPr>
        <w:t>: Growth Measure</w:t>
      </w:r>
    </w:p>
    <w:p w14:paraId="6E11671B" w14:textId="1E078A70" w:rsidR="001D544B" w:rsidRPr="000E063D" w:rsidRDefault="001D544B" w:rsidP="001D544B">
      <w:pPr>
        <w:pStyle w:val="MeasureText"/>
        <w:rPr>
          <w:rFonts w:ascii="Tw Cen MT" w:hAnsi="Tw Cen MT"/>
        </w:rPr>
      </w:pPr>
      <w:r w:rsidRPr="000E063D">
        <w:rPr>
          <w:rFonts w:ascii="Tw Cen MT" w:hAnsi="Tw Cen MT"/>
        </w:rPr>
        <w:t xml:space="preserve">Each year, under the state’s Growth Model, the school’s mean unadjusted growth percentile in English language arts for all tested students in grades 4-8 will be above the target of 50.  </w:t>
      </w:r>
    </w:p>
    <w:p w14:paraId="05AC183E" w14:textId="3D8DFCED" w:rsidR="00D01B3B" w:rsidRPr="000E063D" w:rsidRDefault="00D01B3B" w:rsidP="00D01B3B">
      <w:pPr>
        <w:rPr>
          <w:rFonts w:ascii="Tw Cen MT" w:hAnsi="Tw Cen MT"/>
        </w:rPr>
      </w:pPr>
      <w:r w:rsidRPr="000E063D">
        <w:rPr>
          <w:rFonts w:ascii="Tw Cen MT" w:hAnsi="Tw Cen MT"/>
        </w:rPr>
        <w:t xml:space="preserve">The Institute does not require charters to report on this measure for 2021-22. </w:t>
      </w:r>
    </w:p>
    <w:p w14:paraId="0B88C6C9" w14:textId="48EDFE7F" w:rsidR="003747DE" w:rsidRPr="000E063D" w:rsidRDefault="00D01B3B" w:rsidP="0076221D">
      <w:pPr>
        <w:pStyle w:val="Heading2"/>
        <w:rPr>
          <w:rFonts w:ascii="Tw Cen MT" w:hAnsi="Tw Cen MT"/>
        </w:rPr>
      </w:pPr>
      <w:r w:rsidRPr="000E063D">
        <w:rPr>
          <w:rFonts w:ascii="Tw Cen MT" w:eastAsia="Calibri" w:hAnsi="Tw Cen MT" w:cs="Calibri"/>
          <w:bCs w:val="0"/>
          <w:color w:val="365F91" w:themeColor="accent1" w:themeShade="BF"/>
          <w:szCs w:val="28"/>
        </w:rPr>
        <w:t>INternal exam results</w:t>
      </w:r>
    </w:p>
    <w:p w14:paraId="620CA925" w14:textId="70011C12" w:rsidR="00CC15B1" w:rsidRDefault="00CC15B1" w:rsidP="00BF48FD">
      <w:pPr>
        <w:rPr>
          <w:rFonts w:ascii="Tw Cen MT" w:eastAsia="Calibri" w:hAnsi="Tw Cen MT" w:cs="Calibri"/>
          <w:szCs w:val="23"/>
        </w:rPr>
      </w:pPr>
      <w:r w:rsidRPr="000E063D">
        <w:rPr>
          <w:rFonts w:ascii="Tw Cen MT" w:eastAsia="Calibri" w:hAnsi="Tw Cen MT" w:cs="Calibri"/>
          <w:szCs w:val="23"/>
        </w:rPr>
        <w:t>During 2021-22, in addition to the New York State 3</w:t>
      </w:r>
      <w:r w:rsidRPr="000E063D">
        <w:rPr>
          <w:rFonts w:ascii="Tw Cen MT" w:eastAsia="Calibri" w:hAnsi="Tw Cen MT" w:cs="Calibri"/>
          <w:szCs w:val="23"/>
          <w:vertAlign w:val="superscript"/>
        </w:rPr>
        <w:t>rd</w:t>
      </w:r>
      <w:r w:rsidRPr="000E063D">
        <w:rPr>
          <w:rFonts w:ascii="Tw Cen MT" w:eastAsia="Calibri" w:hAnsi="Tw Cen MT" w:cs="Calibri"/>
          <w:szCs w:val="23"/>
        </w:rPr>
        <w:t>- 8</w:t>
      </w:r>
      <w:r w:rsidRPr="000E063D">
        <w:rPr>
          <w:rFonts w:ascii="Tw Cen MT" w:eastAsia="Calibri" w:hAnsi="Tw Cen MT" w:cs="Calibri"/>
          <w:szCs w:val="23"/>
          <w:vertAlign w:val="superscript"/>
        </w:rPr>
        <w:t>th</w:t>
      </w:r>
      <w:r w:rsidRPr="000E063D">
        <w:rPr>
          <w:rFonts w:ascii="Tw Cen MT" w:eastAsia="Calibri" w:hAnsi="Tw Cen MT" w:cs="Calibri"/>
          <w:szCs w:val="23"/>
        </w:rPr>
        <w:t xml:space="preserve"> grade exams, the school(s) primarily used the following assessment to measure student growth and achievement in ELA:  </w:t>
      </w:r>
      <w:sdt>
        <w:sdtPr>
          <w:rPr>
            <w:rFonts w:ascii="Tw Cen MT" w:eastAsia="Calibri" w:hAnsi="Tw Cen MT" w:cs="Calibri"/>
            <w:sz w:val="28"/>
            <w:szCs w:val="28"/>
          </w:rPr>
          <w:tag w:val="select one exam"/>
          <w:id w:val="2023820369"/>
          <w:placeholder>
            <w:docPart w:val="52ED7356DE8048ECA61CECC569AD5761"/>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007754B5" w:rsidRPr="000E063D">
            <w:rPr>
              <w:rFonts w:ascii="Tw Cen MT" w:eastAsia="Calibri" w:hAnsi="Tw Cen MT" w:cs="Calibri"/>
              <w:sz w:val="28"/>
              <w:szCs w:val="28"/>
            </w:rPr>
            <w:t>NWEA MAP</w:t>
          </w:r>
        </w:sdtContent>
      </w:sdt>
      <w:r w:rsidRPr="000E063D">
        <w:rPr>
          <w:rFonts w:ascii="Tw Cen MT" w:eastAsia="Calibri" w:hAnsi="Tw Cen MT" w:cs="Calibri"/>
          <w:szCs w:val="23"/>
        </w:rPr>
        <w:t xml:space="preserve"> </w:t>
      </w:r>
    </w:p>
    <w:p w14:paraId="6758D8DC" w14:textId="77777777" w:rsidR="00396941" w:rsidRDefault="00396941" w:rsidP="00396941">
      <w:pPr>
        <w:rPr>
          <w:rFonts w:ascii="Tw Cen MT" w:hAnsi="Tw Cen MT"/>
        </w:rPr>
      </w:pPr>
    </w:p>
    <w:p w14:paraId="56845BE4" w14:textId="1D42F6F7" w:rsidR="00396941" w:rsidRPr="000E063D" w:rsidRDefault="00396941" w:rsidP="00396941">
      <w:pPr>
        <w:widowControl w:val="0"/>
        <w:shd w:val="clear" w:color="auto" w:fill="8DB3E2"/>
        <w:spacing w:after="40"/>
        <w:jc w:val="center"/>
        <w:rPr>
          <w:rFonts w:ascii="Tw Cen MT" w:hAnsi="Tw Cen MT"/>
          <w:color w:val="FFFFFF"/>
        </w:rPr>
      </w:pPr>
      <w:r w:rsidRPr="000E063D">
        <w:rPr>
          <w:rFonts w:ascii="Tw Cen MT" w:hAnsi="Tw Cen MT"/>
          <w:color w:val="FFFFFF"/>
        </w:rPr>
        <w:t>2021-22 NWEA MAP ELA</w:t>
      </w:r>
      <w:r w:rsidR="001478E4">
        <w:rPr>
          <w:rFonts w:ascii="Tw Cen MT" w:hAnsi="Tw Cen MT"/>
          <w:color w:val="FFFFFF"/>
        </w:rPr>
        <w:t xml:space="preserve"> </w:t>
      </w:r>
      <w:r w:rsidRPr="000E063D">
        <w:rPr>
          <w:rFonts w:ascii="Tw Cen MT" w:hAnsi="Tw Cen MT"/>
          <w:color w:val="FFFFFF"/>
        </w:rPr>
        <w:t>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396941" w:rsidRPr="000E063D" w14:paraId="452548AF" w14:textId="77777777" w:rsidTr="002D4995">
        <w:trPr>
          <w:cantSplit/>
          <w:trHeight w:val="611"/>
          <w:jc w:val="center"/>
        </w:trPr>
        <w:tc>
          <w:tcPr>
            <w:tcW w:w="4500" w:type="dxa"/>
            <w:vAlign w:val="center"/>
          </w:tcPr>
          <w:p w14:paraId="2EC63037"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Measure</w:t>
            </w:r>
          </w:p>
        </w:tc>
        <w:tc>
          <w:tcPr>
            <w:tcW w:w="1345" w:type="dxa"/>
            <w:vAlign w:val="center"/>
          </w:tcPr>
          <w:p w14:paraId="04348786"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Subgroup</w:t>
            </w:r>
          </w:p>
        </w:tc>
        <w:tc>
          <w:tcPr>
            <w:tcW w:w="810" w:type="dxa"/>
            <w:vAlign w:val="center"/>
          </w:tcPr>
          <w:p w14:paraId="6E3FD57A"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Target </w:t>
            </w:r>
          </w:p>
        </w:tc>
        <w:tc>
          <w:tcPr>
            <w:tcW w:w="810" w:type="dxa"/>
            <w:vAlign w:val="center"/>
          </w:tcPr>
          <w:p w14:paraId="21ED9332"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Tested</w:t>
            </w:r>
          </w:p>
        </w:tc>
        <w:tc>
          <w:tcPr>
            <w:tcW w:w="900" w:type="dxa"/>
            <w:vAlign w:val="center"/>
          </w:tcPr>
          <w:p w14:paraId="3234B1F7"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Results</w:t>
            </w:r>
          </w:p>
        </w:tc>
        <w:tc>
          <w:tcPr>
            <w:tcW w:w="990" w:type="dxa"/>
            <w:vAlign w:val="center"/>
          </w:tcPr>
          <w:p w14:paraId="2A9C318A"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Met?</w:t>
            </w:r>
          </w:p>
        </w:tc>
      </w:tr>
      <w:tr w:rsidR="00396941" w:rsidRPr="000E063D" w14:paraId="40F49F55" w14:textId="77777777" w:rsidTr="002D4995">
        <w:trPr>
          <w:cantSplit/>
          <w:trHeight w:val="305"/>
          <w:jc w:val="center"/>
        </w:trPr>
        <w:tc>
          <w:tcPr>
            <w:tcW w:w="4500" w:type="dxa"/>
            <w:tcBorders>
              <w:bottom w:val="single" w:sz="4" w:space="0" w:color="auto"/>
            </w:tcBorders>
            <w:vAlign w:val="center"/>
          </w:tcPr>
          <w:p w14:paraId="42623B57" w14:textId="77777777" w:rsidR="00396941" w:rsidRPr="000E063D" w:rsidRDefault="00396941" w:rsidP="002D4995">
            <w:pPr>
              <w:spacing w:after="0"/>
              <w:rPr>
                <w:rFonts w:ascii="Tw Cen MT" w:hAnsi="Tw Cen MT"/>
                <w:color w:val="404040"/>
                <w:sz w:val="20"/>
              </w:rPr>
            </w:pPr>
            <w:r w:rsidRPr="000E063D">
              <w:rPr>
                <w:rFonts w:ascii="Tw Cen MT" w:eastAsia="Calibri" w:hAnsi="Tw Cen MT" w:cs="Calibri"/>
                <w:color w:val="auto"/>
                <w:sz w:val="22"/>
                <w:szCs w:val="22"/>
              </w:rPr>
              <w:t>Measure 1: Each year, the school's median growth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percentile</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 xml:space="preserve">of all </w:t>
            </w:r>
            <w:proofErr w:type="gramStart"/>
            <w:r w:rsidRPr="000E063D">
              <w:rPr>
                <w:rFonts w:ascii="Tw Cen MT" w:eastAsia="Calibri" w:hAnsi="Tw Cen MT" w:cs="Calibri"/>
                <w:color w:val="auto"/>
                <w:sz w:val="22"/>
                <w:szCs w:val="22"/>
              </w:rPr>
              <w:t>3</w:t>
            </w:r>
            <w:r w:rsidRPr="000E063D">
              <w:rPr>
                <w:rFonts w:ascii="Tw Cen MT" w:eastAsia="Calibri" w:hAnsi="Tw Cen MT" w:cs="Calibri"/>
                <w:color w:val="auto"/>
                <w:sz w:val="22"/>
                <w:szCs w:val="22"/>
                <w:vertAlign w:val="superscript"/>
              </w:rPr>
              <w:t>rd</w:t>
            </w:r>
            <w:proofErr w:type="gramEnd"/>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will be greater than</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50.</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 xml:space="preserve"> Student growth is the difference between the beginning of year score and the end of year score.</w:t>
            </w:r>
            <w:r w:rsidRPr="000E063D">
              <w:rPr>
                <w:rFonts w:ascii="Arial" w:eastAsia="Calibri" w:hAnsi="Arial" w:cs="Arial"/>
                <w:color w:val="auto"/>
                <w:sz w:val="22"/>
                <w:szCs w:val="22"/>
              </w:rPr>
              <w:t> </w:t>
            </w:r>
          </w:p>
        </w:tc>
        <w:tc>
          <w:tcPr>
            <w:tcW w:w="1345" w:type="dxa"/>
            <w:tcBorders>
              <w:bottom w:val="single" w:sz="4" w:space="0" w:color="auto"/>
            </w:tcBorders>
            <w:vAlign w:val="center"/>
          </w:tcPr>
          <w:p w14:paraId="4D8B434F"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All students</w:t>
            </w:r>
          </w:p>
        </w:tc>
        <w:tc>
          <w:tcPr>
            <w:tcW w:w="810" w:type="dxa"/>
            <w:vAlign w:val="center"/>
          </w:tcPr>
          <w:p w14:paraId="72A20B35"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50</w:t>
            </w:r>
          </w:p>
        </w:tc>
        <w:tc>
          <w:tcPr>
            <w:tcW w:w="810" w:type="dxa"/>
            <w:vAlign w:val="center"/>
          </w:tcPr>
          <w:p w14:paraId="4D94E478"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103</w:t>
            </w:r>
          </w:p>
        </w:tc>
        <w:tc>
          <w:tcPr>
            <w:tcW w:w="900" w:type="dxa"/>
            <w:vAlign w:val="center"/>
          </w:tcPr>
          <w:p w14:paraId="640D9EF1" w14:textId="0F02872A" w:rsidR="00396941" w:rsidRPr="000E063D" w:rsidRDefault="007B19BB" w:rsidP="002D4995">
            <w:pPr>
              <w:spacing w:after="0"/>
              <w:jc w:val="center"/>
              <w:rPr>
                <w:rFonts w:ascii="Tw Cen MT" w:hAnsi="Tw Cen MT"/>
                <w:color w:val="404040"/>
                <w:sz w:val="20"/>
              </w:rPr>
            </w:pPr>
            <w:r>
              <w:rPr>
                <w:rFonts w:ascii="Tw Cen MT" w:hAnsi="Tw Cen MT"/>
                <w:color w:val="404040"/>
                <w:sz w:val="20"/>
              </w:rPr>
              <w:t>72.5</w:t>
            </w:r>
          </w:p>
        </w:tc>
        <w:tc>
          <w:tcPr>
            <w:tcW w:w="990" w:type="dxa"/>
            <w:vAlign w:val="center"/>
          </w:tcPr>
          <w:p w14:paraId="79976B19" w14:textId="239F24D4" w:rsidR="00396941" w:rsidRPr="000E063D" w:rsidRDefault="007B19BB" w:rsidP="002D4995">
            <w:pPr>
              <w:spacing w:after="0"/>
              <w:jc w:val="center"/>
              <w:rPr>
                <w:rFonts w:ascii="Tw Cen MT" w:hAnsi="Tw Cen MT"/>
                <w:color w:val="404040"/>
                <w:sz w:val="20"/>
              </w:rPr>
            </w:pPr>
            <w:r>
              <w:rPr>
                <w:rFonts w:ascii="Tw Cen MT" w:hAnsi="Tw Cen MT"/>
                <w:color w:val="404040"/>
                <w:sz w:val="20"/>
              </w:rPr>
              <w:t>Yes</w:t>
            </w:r>
          </w:p>
        </w:tc>
      </w:tr>
      <w:tr w:rsidR="00396941" w:rsidRPr="000E063D" w14:paraId="199635AD" w14:textId="77777777" w:rsidTr="002D4995">
        <w:trPr>
          <w:cantSplit/>
          <w:trHeight w:val="260"/>
          <w:jc w:val="center"/>
        </w:trPr>
        <w:tc>
          <w:tcPr>
            <w:tcW w:w="4500" w:type="dxa"/>
            <w:tcBorders>
              <w:bottom w:val="single" w:sz="4" w:space="0" w:color="auto"/>
            </w:tcBorders>
            <w:vAlign w:val="center"/>
          </w:tcPr>
          <w:p w14:paraId="03916676" w14:textId="77777777" w:rsidR="00396941" w:rsidRPr="000E063D" w:rsidRDefault="00396941" w:rsidP="002D4995">
            <w:pPr>
              <w:spacing w:after="0"/>
              <w:rPr>
                <w:rFonts w:ascii="Tw Cen MT" w:hAnsi="Tw Cen MT"/>
                <w:color w:val="404040"/>
                <w:sz w:val="20"/>
              </w:rPr>
            </w:pPr>
            <w:r w:rsidRPr="000E063D">
              <w:rPr>
                <w:rFonts w:ascii="Tw Cen MT" w:eastAsia="Calibri" w:hAnsi="Tw Cen MT" w:cs="Calibri"/>
                <w:color w:val="auto"/>
                <w:sz w:val="22"/>
                <w:szCs w:val="22"/>
              </w:rPr>
              <w:t xml:space="preserve">Measure 2: Each year, the school's median growth </w:t>
            </w:r>
            <w:r w:rsidRPr="000E063D">
              <w:rPr>
                <w:rFonts w:ascii="Arial" w:eastAsia="Calibri" w:hAnsi="Arial" w:cs="Arial"/>
                <w:color w:val="auto"/>
                <w:sz w:val="22"/>
                <w:szCs w:val="22"/>
              </w:rPr>
              <w:t>​</w:t>
            </w:r>
            <w:r w:rsidRPr="000E063D">
              <w:rPr>
                <w:rFonts w:ascii="Tw Cen MT" w:eastAsia="Calibri" w:hAnsi="Tw Cen MT" w:cs="Calibri"/>
                <w:color w:val="auto"/>
                <w:sz w:val="22"/>
                <w:szCs w:val="22"/>
              </w:rPr>
              <w:t xml:space="preserve">percentile of all </w:t>
            </w:r>
            <w:proofErr w:type="gramStart"/>
            <w:r w:rsidRPr="000E063D">
              <w:rPr>
                <w:rFonts w:ascii="Tw Cen MT" w:eastAsia="Calibri" w:hAnsi="Tw Cen MT" w:cs="Calibri"/>
                <w:color w:val="auto"/>
                <w:sz w:val="22"/>
                <w:szCs w:val="22"/>
              </w:rPr>
              <w:t>3</w:t>
            </w:r>
            <w:r w:rsidRPr="000E063D">
              <w:rPr>
                <w:rFonts w:ascii="Tw Cen MT" w:eastAsia="Calibri" w:hAnsi="Tw Cen MT" w:cs="Calibri"/>
                <w:color w:val="auto"/>
                <w:sz w:val="22"/>
                <w:szCs w:val="22"/>
                <w:vertAlign w:val="superscript"/>
              </w:rPr>
              <w:t>rd</w:t>
            </w:r>
            <w:proofErr w:type="gramEnd"/>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w:t>
            </w:r>
            <w:r w:rsidRPr="000E063D">
              <w:rPr>
                <w:rFonts w:ascii="Arial" w:eastAsia="Calibri" w:hAnsi="Arial" w:cs="Arial"/>
                <w:color w:val="auto"/>
                <w:sz w:val="22"/>
                <w:szCs w:val="22"/>
              </w:rPr>
              <w:t>​</w:t>
            </w:r>
            <w:r w:rsidRPr="000E063D">
              <w:rPr>
                <w:rFonts w:ascii="Tw Cen MT" w:eastAsia="Calibri" w:hAnsi="Tw Cen MT" w:cs="Calibri"/>
                <w:color w:val="auto"/>
                <w:sz w:val="22"/>
                <w:szCs w:val="22"/>
              </w:rPr>
              <w:t>students whose achievement did not meet or exceed the RIT score proficiency equivalent in the fall will meet or exceed 55 in the spring administration.</w:t>
            </w:r>
          </w:p>
        </w:tc>
        <w:tc>
          <w:tcPr>
            <w:tcW w:w="1345" w:type="dxa"/>
            <w:tcBorders>
              <w:bottom w:val="single" w:sz="4" w:space="0" w:color="auto"/>
            </w:tcBorders>
            <w:vAlign w:val="center"/>
          </w:tcPr>
          <w:p w14:paraId="7C146387"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Low initial achievers</w:t>
            </w:r>
          </w:p>
        </w:tc>
        <w:tc>
          <w:tcPr>
            <w:tcW w:w="810" w:type="dxa"/>
            <w:vAlign w:val="center"/>
          </w:tcPr>
          <w:p w14:paraId="353B27C2"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55</w:t>
            </w:r>
          </w:p>
        </w:tc>
        <w:tc>
          <w:tcPr>
            <w:tcW w:w="810" w:type="dxa"/>
            <w:vAlign w:val="center"/>
          </w:tcPr>
          <w:p w14:paraId="3970FEBD" w14:textId="33079DD1" w:rsidR="00396941" w:rsidRPr="000E063D" w:rsidRDefault="00B75018" w:rsidP="002D4995">
            <w:pPr>
              <w:spacing w:after="0"/>
              <w:jc w:val="center"/>
              <w:rPr>
                <w:rFonts w:ascii="Tw Cen MT" w:hAnsi="Tw Cen MT"/>
                <w:color w:val="404040"/>
                <w:sz w:val="20"/>
              </w:rPr>
            </w:pPr>
            <w:r>
              <w:rPr>
                <w:rFonts w:ascii="Tw Cen MT" w:hAnsi="Tw Cen MT"/>
                <w:color w:val="404040"/>
                <w:sz w:val="20"/>
              </w:rPr>
              <w:t>94</w:t>
            </w:r>
          </w:p>
        </w:tc>
        <w:tc>
          <w:tcPr>
            <w:tcW w:w="900" w:type="dxa"/>
            <w:vAlign w:val="center"/>
          </w:tcPr>
          <w:p w14:paraId="3EE97A84" w14:textId="0F5D96E0" w:rsidR="00396941" w:rsidRPr="000E063D" w:rsidRDefault="00787E59" w:rsidP="002D4995">
            <w:pPr>
              <w:spacing w:after="0"/>
              <w:jc w:val="center"/>
              <w:rPr>
                <w:rFonts w:ascii="Tw Cen MT" w:hAnsi="Tw Cen MT"/>
                <w:color w:val="404040"/>
                <w:sz w:val="20"/>
              </w:rPr>
            </w:pPr>
            <w:r>
              <w:rPr>
                <w:rFonts w:ascii="Tw Cen MT" w:hAnsi="Tw Cen MT"/>
                <w:color w:val="404040"/>
                <w:sz w:val="20"/>
              </w:rPr>
              <w:t>71</w:t>
            </w:r>
          </w:p>
        </w:tc>
        <w:tc>
          <w:tcPr>
            <w:tcW w:w="990" w:type="dxa"/>
            <w:vAlign w:val="center"/>
          </w:tcPr>
          <w:p w14:paraId="1E0DFC56" w14:textId="174F61AF" w:rsidR="00396941" w:rsidRPr="000E063D" w:rsidRDefault="007B19BB" w:rsidP="002D4995">
            <w:pPr>
              <w:spacing w:after="0"/>
              <w:jc w:val="center"/>
              <w:rPr>
                <w:rFonts w:ascii="Tw Cen MT" w:hAnsi="Tw Cen MT"/>
                <w:color w:val="404040"/>
                <w:sz w:val="20"/>
              </w:rPr>
            </w:pPr>
            <w:r>
              <w:rPr>
                <w:rFonts w:ascii="Tw Cen MT" w:hAnsi="Tw Cen MT"/>
                <w:color w:val="404040"/>
                <w:sz w:val="20"/>
              </w:rPr>
              <w:t>Yes</w:t>
            </w:r>
          </w:p>
        </w:tc>
      </w:tr>
      <w:tr w:rsidR="00396941" w:rsidRPr="000E063D" w14:paraId="4A7893EA" w14:textId="77777777" w:rsidTr="002D4995">
        <w:trPr>
          <w:cantSplit/>
          <w:trHeight w:val="260"/>
          <w:jc w:val="center"/>
        </w:trPr>
        <w:tc>
          <w:tcPr>
            <w:tcW w:w="4500" w:type="dxa"/>
            <w:tcBorders>
              <w:bottom w:val="single" w:sz="4" w:space="0" w:color="auto"/>
            </w:tcBorders>
            <w:vAlign w:val="center"/>
          </w:tcPr>
          <w:p w14:paraId="3295FDCC" w14:textId="77777777" w:rsidR="00396941" w:rsidRPr="000E063D" w:rsidRDefault="00396941" w:rsidP="002D4995">
            <w:pPr>
              <w:spacing w:after="0"/>
              <w:rPr>
                <w:rFonts w:ascii="Tw Cen MT" w:hAnsi="Tw Cen MT"/>
                <w:color w:val="404040"/>
                <w:sz w:val="20"/>
              </w:rPr>
            </w:pPr>
            <w:r w:rsidRPr="000E063D">
              <w:rPr>
                <w:rFonts w:ascii="Tw Cen MT" w:eastAsia="Calibri" w:hAnsi="Tw Cen MT" w:cs="Calibri"/>
                <w:color w:val="auto"/>
                <w:sz w:val="22"/>
                <w:szCs w:val="22"/>
              </w:rPr>
              <w:t>Measure 3: Each year, the median growth percentile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with disabilities at the school will be equal to or greater than the median growth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general education students at the school.</w:t>
            </w:r>
            <w:r w:rsidRPr="000E063D">
              <w:rPr>
                <w:rFonts w:ascii="Arial" w:eastAsia="Calibri" w:hAnsi="Arial" w:cs="Arial"/>
                <w:color w:val="auto"/>
                <w:sz w:val="22"/>
                <w:szCs w:val="22"/>
              </w:rPr>
              <w:t> </w:t>
            </w:r>
          </w:p>
        </w:tc>
        <w:tc>
          <w:tcPr>
            <w:tcW w:w="1345" w:type="dxa"/>
            <w:tcBorders>
              <w:bottom w:val="single" w:sz="4" w:space="0" w:color="auto"/>
            </w:tcBorders>
            <w:vAlign w:val="center"/>
          </w:tcPr>
          <w:p w14:paraId="3F364DAE" w14:textId="2EAEE776"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Students with disabilities</w:t>
            </w:r>
          </w:p>
        </w:tc>
        <w:tc>
          <w:tcPr>
            <w:tcW w:w="810" w:type="dxa"/>
            <w:vAlign w:val="center"/>
          </w:tcPr>
          <w:p w14:paraId="214EEC7F" w14:textId="622CEFC0" w:rsidR="00396941" w:rsidRPr="000E063D" w:rsidRDefault="001F5619" w:rsidP="002D4995">
            <w:pPr>
              <w:spacing w:after="0"/>
              <w:jc w:val="center"/>
              <w:rPr>
                <w:rFonts w:ascii="Tw Cen MT" w:hAnsi="Tw Cen MT"/>
                <w:color w:val="404040"/>
                <w:sz w:val="20"/>
              </w:rPr>
            </w:pPr>
            <w:r>
              <w:rPr>
                <w:rFonts w:ascii="Tw Cen MT" w:hAnsi="Tw Cen MT"/>
                <w:color w:val="404040"/>
                <w:sz w:val="20"/>
              </w:rPr>
              <w:t>72.5</w:t>
            </w:r>
          </w:p>
        </w:tc>
        <w:tc>
          <w:tcPr>
            <w:tcW w:w="810" w:type="dxa"/>
            <w:vAlign w:val="center"/>
          </w:tcPr>
          <w:p w14:paraId="6BD38745" w14:textId="34A9CE48" w:rsidR="00396941" w:rsidRPr="000E063D" w:rsidRDefault="001F5619" w:rsidP="002D4995">
            <w:pPr>
              <w:spacing w:after="0"/>
              <w:jc w:val="center"/>
              <w:rPr>
                <w:rFonts w:ascii="Tw Cen MT" w:hAnsi="Tw Cen MT"/>
                <w:color w:val="404040"/>
                <w:sz w:val="20"/>
              </w:rPr>
            </w:pPr>
            <w:r>
              <w:rPr>
                <w:rFonts w:ascii="Tw Cen MT" w:hAnsi="Tw Cen MT"/>
                <w:color w:val="404040"/>
                <w:sz w:val="20"/>
              </w:rPr>
              <w:t>12</w:t>
            </w:r>
          </w:p>
        </w:tc>
        <w:tc>
          <w:tcPr>
            <w:tcW w:w="900" w:type="dxa"/>
            <w:vAlign w:val="center"/>
          </w:tcPr>
          <w:p w14:paraId="2CF958AE" w14:textId="29AD87D5" w:rsidR="00396941" w:rsidRPr="000E063D" w:rsidRDefault="001F5619" w:rsidP="002D4995">
            <w:pPr>
              <w:spacing w:after="0"/>
              <w:jc w:val="center"/>
              <w:rPr>
                <w:rFonts w:ascii="Tw Cen MT" w:hAnsi="Tw Cen MT"/>
                <w:color w:val="404040"/>
                <w:sz w:val="20"/>
              </w:rPr>
            </w:pPr>
            <w:r>
              <w:rPr>
                <w:rFonts w:ascii="Tw Cen MT" w:hAnsi="Tw Cen MT"/>
                <w:color w:val="404040"/>
                <w:sz w:val="20"/>
              </w:rPr>
              <w:t>67</w:t>
            </w:r>
          </w:p>
        </w:tc>
        <w:tc>
          <w:tcPr>
            <w:tcW w:w="990" w:type="dxa"/>
            <w:vAlign w:val="center"/>
          </w:tcPr>
          <w:p w14:paraId="74CBD35D" w14:textId="5D70C4C4" w:rsidR="00396941" w:rsidRPr="000E063D" w:rsidRDefault="006F310A" w:rsidP="002D4995">
            <w:pPr>
              <w:spacing w:after="0"/>
              <w:jc w:val="center"/>
              <w:rPr>
                <w:rFonts w:ascii="Tw Cen MT" w:hAnsi="Tw Cen MT"/>
                <w:color w:val="404040"/>
                <w:sz w:val="20"/>
              </w:rPr>
            </w:pPr>
            <w:r>
              <w:rPr>
                <w:rFonts w:ascii="Tw Cen MT" w:hAnsi="Tw Cen MT"/>
                <w:color w:val="404040"/>
                <w:sz w:val="20"/>
              </w:rPr>
              <w:t>No</w:t>
            </w:r>
          </w:p>
        </w:tc>
      </w:tr>
      <w:tr w:rsidR="00396941" w:rsidRPr="000E063D" w14:paraId="2096517F" w14:textId="77777777" w:rsidTr="002D4995">
        <w:trPr>
          <w:cantSplit/>
          <w:trHeight w:val="260"/>
          <w:jc w:val="center"/>
        </w:trPr>
        <w:tc>
          <w:tcPr>
            <w:tcW w:w="4500" w:type="dxa"/>
            <w:tcBorders>
              <w:bottom w:val="single" w:sz="4" w:space="0" w:color="auto"/>
            </w:tcBorders>
            <w:vAlign w:val="center"/>
          </w:tcPr>
          <w:p w14:paraId="0ECF5F0A" w14:textId="4332E082" w:rsidR="00396941" w:rsidRPr="000E063D" w:rsidRDefault="00396941" w:rsidP="002D4995">
            <w:pPr>
              <w:spacing w:after="0"/>
              <w:rPr>
                <w:rFonts w:ascii="Tw Cen MT" w:hAnsi="Tw Cen MT"/>
                <w:color w:val="404040"/>
                <w:sz w:val="20"/>
              </w:rPr>
            </w:pPr>
            <w:r w:rsidRPr="000E063D">
              <w:rPr>
                <w:rFonts w:ascii="Tw Cen MT" w:eastAsia="Calibri" w:hAnsi="Tw Cen MT" w:cs="Calibri"/>
                <w:color w:val="auto"/>
                <w:sz w:val="22"/>
                <w:szCs w:val="22"/>
              </w:rPr>
              <w:t>Measure 4: Each year, 75%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enrolled in at least their second year at the school will meet or exceed the RIT score proficiency equivalent according to the most recent linking study comparing NWEA Growth to New York State standards.</w:t>
            </w:r>
          </w:p>
        </w:tc>
        <w:tc>
          <w:tcPr>
            <w:tcW w:w="1345" w:type="dxa"/>
            <w:tcBorders>
              <w:bottom w:val="single" w:sz="4" w:space="0" w:color="auto"/>
            </w:tcBorders>
            <w:vAlign w:val="center"/>
          </w:tcPr>
          <w:p w14:paraId="447DACBE"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2+ students</w:t>
            </w:r>
          </w:p>
        </w:tc>
        <w:tc>
          <w:tcPr>
            <w:tcW w:w="810" w:type="dxa"/>
            <w:vAlign w:val="center"/>
          </w:tcPr>
          <w:p w14:paraId="2458D203"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75%</w:t>
            </w:r>
          </w:p>
        </w:tc>
        <w:tc>
          <w:tcPr>
            <w:tcW w:w="810" w:type="dxa"/>
            <w:vAlign w:val="center"/>
          </w:tcPr>
          <w:p w14:paraId="7E7D8086" w14:textId="6C2C1D49" w:rsidR="00396941" w:rsidRPr="000E063D" w:rsidRDefault="001478E4" w:rsidP="002D4995">
            <w:pPr>
              <w:spacing w:after="0"/>
              <w:jc w:val="center"/>
              <w:rPr>
                <w:rFonts w:ascii="Tw Cen MT" w:hAnsi="Tw Cen MT"/>
                <w:color w:val="404040"/>
                <w:sz w:val="20"/>
              </w:rPr>
            </w:pPr>
            <w:r>
              <w:rPr>
                <w:rFonts w:ascii="Tw Cen MT" w:hAnsi="Tw Cen MT"/>
                <w:color w:val="404040"/>
                <w:sz w:val="20"/>
              </w:rPr>
              <w:t>106</w:t>
            </w:r>
          </w:p>
        </w:tc>
        <w:tc>
          <w:tcPr>
            <w:tcW w:w="900" w:type="dxa"/>
            <w:vAlign w:val="center"/>
          </w:tcPr>
          <w:p w14:paraId="2FB880CD" w14:textId="658F8C9E" w:rsidR="00396941" w:rsidRPr="000E063D" w:rsidRDefault="000413CF" w:rsidP="002D4995">
            <w:pPr>
              <w:spacing w:after="0"/>
              <w:jc w:val="center"/>
              <w:rPr>
                <w:rFonts w:ascii="Tw Cen MT" w:hAnsi="Tw Cen MT"/>
                <w:color w:val="404040"/>
                <w:sz w:val="20"/>
              </w:rPr>
            </w:pPr>
            <w:r>
              <w:rPr>
                <w:rFonts w:ascii="Tw Cen MT" w:hAnsi="Tw Cen MT"/>
                <w:color w:val="404040"/>
                <w:sz w:val="20"/>
              </w:rPr>
              <w:t>20%</w:t>
            </w:r>
          </w:p>
        </w:tc>
        <w:tc>
          <w:tcPr>
            <w:tcW w:w="990" w:type="dxa"/>
            <w:vAlign w:val="center"/>
          </w:tcPr>
          <w:p w14:paraId="54321682" w14:textId="54F06E36" w:rsidR="00396941" w:rsidRPr="000E063D" w:rsidRDefault="006F310A" w:rsidP="002D4995">
            <w:pPr>
              <w:spacing w:after="0"/>
              <w:jc w:val="center"/>
              <w:rPr>
                <w:rFonts w:ascii="Tw Cen MT" w:hAnsi="Tw Cen MT"/>
                <w:color w:val="404040"/>
                <w:sz w:val="20"/>
              </w:rPr>
            </w:pPr>
            <w:r>
              <w:rPr>
                <w:rFonts w:ascii="Tw Cen MT" w:hAnsi="Tw Cen MT"/>
                <w:color w:val="404040"/>
                <w:sz w:val="20"/>
              </w:rPr>
              <w:t>No</w:t>
            </w:r>
          </w:p>
        </w:tc>
      </w:tr>
    </w:tbl>
    <w:p w14:paraId="41C12790" w14:textId="06F25D15" w:rsidR="00396941" w:rsidRDefault="00396941" w:rsidP="00396941">
      <w:pPr>
        <w:rPr>
          <w:rFonts w:ascii="Tw Cen MT" w:hAnsi="Tw Cen MT"/>
        </w:rPr>
      </w:pPr>
    </w:p>
    <w:p w14:paraId="1AE99F7C" w14:textId="0F981C03" w:rsidR="00737FE7" w:rsidRDefault="00737FE7" w:rsidP="00396941">
      <w:pPr>
        <w:rPr>
          <w:rFonts w:ascii="Tw Cen MT" w:hAnsi="Tw Cen MT"/>
        </w:rPr>
      </w:pPr>
    </w:p>
    <w:p w14:paraId="597748E6" w14:textId="06D32005" w:rsidR="00737FE7" w:rsidRDefault="00737FE7" w:rsidP="00396941">
      <w:pPr>
        <w:rPr>
          <w:rFonts w:ascii="Tw Cen MT" w:hAnsi="Tw Cen MT"/>
        </w:rPr>
      </w:pPr>
    </w:p>
    <w:p w14:paraId="6C8022E0" w14:textId="0AC6DB06" w:rsidR="00893764" w:rsidRDefault="00893764" w:rsidP="00396941">
      <w:pPr>
        <w:rPr>
          <w:rFonts w:ascii="Tw Cen MT" w:hAnsi="Tw Cen MT"/>
        </w:rPr>
      </w:pPr>
    </w:p>
    <w:p w14:paraId="09CD1B2C" w14:textId="1C981DFC" w:rsidR="00893764" w:rsidRDefault="00893764" w:rsidP="00396941">
      <w:pPr>
        <w:rPr>
          <w:rFonts w:ascii="Tw Cen MT" w:hAnsi="Tw Cen MT"/>
        </w:rPr>
      </w:pPr>
    </w:p>
    <w:p w14:paraId="12C30C77" w14:textId="11DBB18C" w:rsidR="00893764" w:rsidRDefault="00893764" w:rsidP="00396941">
      <w:pPr>
        <w:rPr>
          <w:rFonts w:ascii="Tw Cen MT" w:hAnsi="Tw Cen MT"/>
        </w:rPr>
      </w:pPr>
    </w:p>
    <w:p w14:paraId="343704ED" w14:textId="3DC4D35C" w:rsidR="006F3AD6" w:rsidRDefault="006F3AD6" w:rsidP="00396941">
      <w:pPr>
        <w:rPr>
          <w:rFonts w:ascii="Tw Cen MT" w:hAnsi="Tw Cen MT"/>
        </w:rPr>
      </w:pPr>
    </w:p>
    <w:p w14:paraId="42ED5367" w14:textId="77777777" w:rsidR="006F3AD6" w:rsidRDefault="006F3AD6" w:rsidP="00396941">
      <w:pPr>
        <w:rPr>
          <w:rFonts w:ascii="Tw Cen MT" w:hAnsi="Tw Cen MT"/>
        </w:rPr>
      </w:pPr>
    </w:p>
    <w:p w14:paraId="0A2D11D4" w14:textId="77777777" w:rsidR="00737FE7" w:rsidRPr="000E063D" w:rsidRDefault="00737FE7" w:rsidP="00396941">
      <w:pPr>
        <w:rPr>
          <w:rFonts w:ascii="Tw Cen MT" w:hAnsi="Tw Cen MT"/>
        </w:rPr>
      </w:pPr>
    </w:p>
    <w:p w14:paraId="2A17A285" w14:textId="77777777" w:rsidR="00396941" w:rsidRPr="000E063D" w:rsidRDefault="00396941" w:rsidP="00396941">
      <w:pPr>
        <w:widowControl w:val="0"/>
        <w:shd w:val="clear" w:color="auto" w:fill="8DB3E2"/>
        <w:spacing w:after="40"/>
        <w:jc w:val="center"/>
        <w:rPr>
          <w:rFonts w:ascii="Tw Cen MT" w:hAnsi="Tw Cen MT"/>
          <w:color w:val="FFFFFF"/>
        </w:rPr>
      </w:pPr>
      <w:r w:rsidRPr="000E063D">
        <w:rPr>
          <w:rFonts w:ascii="Tw Cen MT" w:hAnsi="Tw Cen MT"/>
          <w:color w:val="FFFFFF"/>
        </w:rPr>
        <w:lastRenderedPageBreak/>
        <w:t>End of Year Performance on 2021-22 NWEA MAP EL</w:t>
      </w:r>
      <w:r>
        <w:rPr>
          <w:rFonts w:ascii="Tw Cen MT" w:hAnsi="Tw Cen MT"/>
          <w:color w:val="FFFFFF"/>
        </w:rPr>
        <w:t>A</w:t>
      </w:r>
      <w:r w:rsidRPr="000E063D">
        <w:rPr>
          <w:rFonts w:ascii="Tw Cen MT" w:hAnsi="Tw Cen MT"/>
          <w:color w:val="FFFFFF"/>
        </w:rPr>
        <w:t xml:space="preserve"> Assessment</w:t>
      </w:r>
    </w:p>
    <w:p w14:paraId="67C28EAC" w14:textId="77777777" w:rsidR="00396941" w:rsidRPr="000E063D" w:rsidRDefault="00396941" w:rsidP="00396941">
      <w:pPr>
        <w:widowControl w:val="0"/>
        <w:shd w:val="clear" w:color="auto" w:fill="8DB3E2"/>
        <w:spacing w:after="40"/>
        <w:jc w:val="center"/>
        <w:rPr>
          <w:rFonts w:ascii="Tw Cen MT" w:hAnsi="Tw Cen MT"/>
          <w:color w:val="FFFFFF"/>
        </w:rPr>
      </w:pPr>
      <w:r w:rsidRPr="000E063D">
        <w:rPr>
          <w:rFonts w:ascii="Tw Cen MT" w:hAnsi="Tw Cen MT"/>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396941" w:rsidRPr="000E063D" w14:paraId="031E0D6B" w14:textId="77777777" w:rsidTr="002D4995">
        <w:trPr>
          <w:cantSplit/>
          <w:trHeight w:val="611"/>
          <w:jc w:val="center"/>
        </w:trPr>
        <w:tc>
          <w:tcPr>
            <w:tcW w:w="827" w:type="dxa"/>
            <w:vMerge w:val="restart"/>
            <w:vAlign w:val="center"/>
          </w:tcPr>
          <w:p w14:paraId="2DE84BD4"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Grades</w:t>
            </w:r>
          </w:p>
        </w:tc>
        <w:tc>
          <w:tcPr>
            <w:tcW w:w="2827" w:type="dxa"/>
            <w:gridSpan w:val="2"/>
            <w:vAlign w:val="center"/>
          </w:tcPr>
          <w:p w14:paraId="43B1DAB5"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All Students  </w:t>
            </w:r>
          </w:p>
        </w:tc>
        <w:tc>
          <w:tcPr>
            <w:tcW w:w="2573" w:type="dxa"/>
            <w:gridSpan w:val="2"/>
            <w:vAlign w:val="center"/>
          </w:tcPr>
          <w:p w14:paraId="192031AA"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Enrolled in at least their Second Year</w:t>
            </w:r>
          </w:p>
        </w:tc>
      </w:tr>
      <w:tr w:rsidR="00396941" w:rsidRPr="000E063D" w14:paraId="216BCCAF" w14:textId="77777777" w:rsidTr="002D4995">
        <w:trPr>
          <w:cantSplit/>
          <w:trHeight w:val="611"/>
          <w:jc w:val="center"/>
        </w:trPr>
        <w:tc>
          <w:tcPr>
            <w:tcW w:w="827" w:type="dxa"/>
            <w:vMerge/>
            <w:vAlign w:val="center"/>
          </w:tcPr>
          <w:p w14:paraId="32F5805D" w14:textId="77777777" w:rsidR="00396941" w:rsidRPr="000E063D" w:rsidRDefault="00396941" w:rsidP="002D4995">
            <w:pPr>
              <w:spacing w:after="0"/>
              <w:jc w:val="center"/>
              <w:rPr>
                <w:rFonts w:ascii="Tw Cen MT" w:hAnsi="Tw Cen MT"/>
                <w:color w:val="404040"/>
                <w:sz w:val="20"/>
              </w:rPr>
            </w:pPr>
          </w:p>
        </w:tc>
        <w:tc>
          <w:tcPr>
            <w:tcW w:w="1477" w:type="dxa"/>
            <w:vAlign w:val="center"/>
          </w:tcPr>
          <w:p w14:paraId="0F4A3600" w14:textId="669A6F9B"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Percent Proficient</w:t>
            </w:r>
          </w:p>
        </w:tc>
        <w:tc>
          <w:tcPr>
            <w:tcW w:w="1350" w:type="dxa"/>
            <w:vAlign w:val="center"/>
          </w:tcPr>
          <w:p w14:paraId="2D0649AF"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Number</w:t>
            </w:r>
          </w:p>
          <w:p w14:paraId="65459471"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Tested </w:t>
            </w:r>
          </w:p>
        </w:tc>
        <w:tc>
          <w:tcPr>
            <w:tcW w:w="1223" w:type="dxa"/>
            <w:vAlign w:val="center"/>
          </w:tcPr>
          <w:p w14:paraId="395C9309"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Percent Proficient</w:t>
            </w:r>
          </w:p>
        </w:tc>
        <w:tc>
          <w:tcPr>
            <w:tcW w:w="1350" w:type="dxa"/>
            <w:vAlign w:val="center"/>
          </w:tcPr>
          <w:p w14:paraId="2F818DE6"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Number</w:t>
            </w:r>
          </w:p>
          <w:p w14:paraId="182D6AED"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Tested </w:t>
            </w:r>
          </w:p>
        </w:tc>
      </w:tr>
      <w:tr w:rsidR="00396941" w:rsidRPr="000E063D" w14:paraId="1D29FEFD" w14:textId="77777777" w:rsidTr="002D4995">
        <w:trPr>
          <w:cantSplit/>
          <w:trHeight w:val="305"/>
          <w:jc w:val="center"/>
        </w:trPr>
        <w:tc>
          <w:tcPr>
            <w:tcW w:w="827" w:type="dxa"/>
            <w:tcBorders>
              <w:bottom w:val="single" w:sz="4" w:space="0" w:color="auto"/>
            </w:tcBorders>
            <w:vAlign w:val="center"/>
          </w:tcPr>
          <w:p w14:paraId="3F980D19"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2</w:t>
            </w:r>
          </w:p>
        </w:tc>
        <w:tc>
          <w:tcPr>
            <w:tcW w:w="1477" w:type="dxa"/>
            <w:tcBorders>
              <w:bottom w:val="single" w:sz="4" w:space="0" w:color="auto"/>
            </w:tcBorders>
            <w:vAlign w:val="center"/>
          </w:tcPr>
          <w:p w14:paraId="473B4269"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11%</w:t>
            </w:r>
          </w:p>
        </w:tc>
        <w:tc>
          <w:tcPr>
            <w:tcW w:w="1350" w:type="dxa"/>
            <w:vAlign w:val="center"/>
          </w:tcPr>
          <w:p w14:paraId="476F972D"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57</w:t>
            </w:r>
          </w:p>
        </w:tc>
        <w:tc>
          <w:tcPr>
            <w:tcW w:w="1223" w:type="dxa"/>
            <w:vAlign w:val="center"/>
          </w:tcPr>
          <w:p w14:paraId="1F077BCE" w14:textId="715DC3FB" w:rsidR="00396941" w:rsidRPr="000E063D" w:rsidRDefault="006A39A8" w:rsidP="002D4995">
            <w:pPr>
              <w:spacing w:after="0"/>
              <w:jc w:val="center"/>
              <w:rPr>
                <w:rFonts w:ascii="Tw Cen MT" w:hAnsi="Tw Cen MT"/>
                <w:color w:val="404040"/>
                <w:sz w:val="20"/>
              </w:rPr>
            </w:pPr>
            <w:r>
              <w:rPr>
                <w:rFonts w:ascii="Tw Cen MT" w:hAnsi="Tw Cen MT"/>
                <w:color w:val="404040"/>
                <w:sz w:val="20"/>
              </w:rPr>
              <w:t>11%</w:t>
            </w:r>
          </w:p>
        </w:tc>
        <w:tc>
          <w:tcPr>
            <w:tcW w:w="1350" w:type="dxa"/>
            <w:tcBorders>
              <w:bottom w:val="single" w:sz="4" w:space="0" w:color="auto"/>
            </w:tcBorders>
            <w:vAlign w:val="center"/>
          </w:tcPr>
          <w:p w14:paraId="7D255B3C" w14:textId="20B07457" w:rsidR="00396941" w:rsidRPr="000E063D" w:rsidRDefault="004E4721" w:rsidP="002D4995">
            <w:pPr>
              <w:spacing w:after="0"/>
              <w:jc w:val="center"/>
              <w:rPr>
                <w:rFonts w:ascii="Tw Cen MT" w:hAnsi="Tw Cen MT"/>
                <w:color w:val="404040"/>
                <w:sz w:val="20"/>
              </w:rPr>
            </w:pPr>
            <w:r>
              <w:rPr>
                <w:rFonts w:ascii="Tw Cen MT" w:hAnsi="Tw Cen MT"/>
                <w:color w:val="404040"/>
                <w:sz w:val="20"/>
              </w:rPr>
              <w:t>53</w:t>
            </w:r>
          </w:p>
        </w:tc>
      </w:tr>
      <w:tr w:rsidR="00396941" w:rsidRPr="000E063D" w14:paraId="7D34FAA8" w14:textId="77777777" w:rsidTr="002D4995">
        <w:trPr>
          <w:cantSplit/>
          <w:trHeight w:val="305"/>
          <w:jc w:val="center"/>
        </w:trPr>
        <w:tc>
          <w:tcPr>
            <w:tcW w:w="827" w:type="dxa"/>
            <w:tcBorders>
              <w:bottom w:val="single" w:sz="4" w:space="0" w:color="auto"/>
            </w:tcBorders>
            <w:vAlign w:val="center"/>
          </w:tcPr>
          <w:p w14:paraId="6F2802DA"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3</w:t>
            </w:r>
          </w:p>
        </w:tc>
        <w:tc>
          <w:tcPr>
            <w:tcW w:w="1477" w:type="dxa"/>
            <w:tcBorders>
              <w:bottom w:val="single" w:sz="4" w:space="0" w:color="auto"/>
            </w:tcBorders>
            <w:vAlign w:val="center"/>
          </w:tcPr>
          <w:p w14:paraId="6D026851"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19%</w:t>
            </w:r>
          </w:p>
        </w:tc>
        <w:tc>
          <w:tcPr>
            <w:tcW w:w="1350" w:type="dxa"/>
            <w:vAlign w:val="center"/>
          </w:tcPr>
          <w:p w14:paraId="1068E6D6"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53</w:t>
            </w:r>
          </w:p>
        </w:tc>
        <w:tc>
          <w:tcPr>
            <w:tcW w:w="1223" w:type="dxa"/>
            <w:vAlign w:val="center"/>
          </w:tcPr>
          <w:p w14:paraId="236C5984" w14:textId="03DC37BC" w:rsidR="00396941" w:rsidRPr="000E063D" w:rsidRDefault="006A39A8" w:rsidP="002D4995">
            <w:pPr>
              <w:spacing w:after="0"/>
              <w:jc w:val="center"/>
              <w:rPr>
                <w:rFonts w:ascii="Tw Cen MT" w:hAnsi="Tw Cen MT"/>
                <w:color w:val="404040"/>
                <w:sz w:val="20"/>
              </w:rPr>
            </w:pPr>
            <w:r>
              <w:rPr>
                <w:rFonts w:ascii="Tw Cen MT" w:hAnsi="Tw Cen MT"/>
                <w:color w:val="404040"/>
                <w:sz w:val="20"/>
              </w:rPr>
              <w:t>20%</w:t>
            </w:r>
          </w:p>
        </w:tc>
        <w:tc>
          <w:tcPr>
            <w:tcW w:w="1350" w:type="dxa"/>
            <w:tcBorders>
              <w:bottom w:val="single" w:sz="4" w:space="0" w:color="auto"/>
            </w:tcBorders>
            <w:vAlign w:val="center"/>
          </w:tcPr>
          <w:p w14:paraId="0EB2D228" w14:textId="2EF3B31A" w:rsidR="00396941" w:rsidRPr="000E063D" w:rsidRDefault="00DA64AB" w:rsidP="002D4995">
            <w:pPr>
              <w:spacing w:after="0"/>
              <w:jc w:val="center"/>
              <w:rPr>
                <w:rFonts w:ascii="Tw Cen MT" w:hAnsi="Tw Cen MT"/>
                <w:color w:val="404040"/>
                <w:sz w:val="20"/>
              </w:rPr>
            </w:pPr>
            <w:r>
              <w:rPr>
                <w:rFonts w:ascii="Tw Cen MT" w:hAnsi="Tw Cen MT"/>
                <w:color w:val="404040"/>
                <w:sz w:val="20"/>
              </w:rPr>
              <w:t>51</w:t>
            </w:r>
          </w:p>
        </w:tc>
      </w:tr>
      <w:tr w:rsidR="00396941" w:rsidRPr="000E063D" w14:paraId="53A211DD" w14:textId="77777777" w:rsidTr="002D4995">
        <w:trPr>
          <w:cantSplit/>
          <w:trHeight w:val="260"/>
          <w:jc w:val="center"/>
        </w:trPr>
        <w:tc>
          <w:tcPr>
            <w:tcW w:w="827" w:type="dxa"/>
            <w:tcBorders>
              <w:bottom w:val="single" w:sz="4" w:space="0" w:color="auto"/>
            </w:tcBorders>
            <w:vAlign w:val="center"/>
          </w:tcPr>
          <w:p w14:paraId="7480ECB9"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4</w:t>
            </w:r>
          </w:p>
        </w:tc>
        <w:tc>
          <w:tcPr>
            <w:tcW w:w="1477" w:type="dxa"/>
            <w:tcBorders>
              <w:bottom w:val="single" w:sz="4" w:space="0" w:color="auto"/>
            </w:tcBorders>
            <w:vAlign w:val="center"/>
          </w:tcPr>
          <w:p w14:paraId="1106726A"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21%</w:t>
            </w:r>
          </w:p>
        </w:tc>
        <w:tc>
          <w:tcPr>
            <w:tcW w:w="1350" w:type="dxa"/>
            <w:vAlign w:val="center"/>
          </w:tcPr>
          <w:p w14:paraId="3F601411"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53</w:t>
            </w:r>
          </w:p>
        </w:tc>
        <w:tc>
          <w:tcPr>
            <w:tcW w:w="1223" w:type="dxa"/>
            <w:vAlign w:val="center"/>
          </w:tcPr>
          <w:p w14:paraId="63EE958F" w14:textId="4024FE19" w:rsidR="00396941" w:rsidRPr="000E063D" w:rsidRDefault="001150A6" w:rsidP="002D4995">
            <w:pPr>
              <w:spacing w:after="0"/>
              <w:jc w:val="center"/>
              <w:rPr>
                <w:rFonts w:ascii="Tw Cen MT" w:hAnsi="Tw Cen MT"/>
                <w:color w:val="404040"/>
                <w:sz w:val="20"/>
              </w:rPr>
            </w:pPr>
            <w:r>
              <w:rPr>
                <w:rFonts w:ascii="Tw Cen MT" w:hAnsi="Tw Cen MT"/>
                <w:color w:val="404040"/>
                <w:sz w:val="20"/>
              </w:rPr>
              <w:t>22%</w:t>
            </w:r>
          </w:p>
        </w:tc>
        <w:tc>
          <w:tcPr>
            <w:tcW w:w="1350" w:type="dxa"/>
            <w:tcBorders>
              <w:bottom w:val="single" w:sz="4" w:space="0" w:color="auto"/>
            </w:tcBorders>
            <w:vAlign w:val="center"/>
          </w:tcPr>
          <w:p w14:paraId="52EC706E" w14:textId="26AD3B9D" w:rsidR="00396941" w:rsidRPr="000E063D" w:rsidRDefault="00E346BA" w:rsidP="002D4995">
            <w:pPr>
              <w:spacing w:after="0"/>
              <w:jc w:val="center"/>
              <w:rPr>
                <w:rFonts w:ascii="Tw Cen MT" w:hAnsi="Tw Cen MT"/>
                <w:color w:val="404040"/>
                <w:sz w:val="20"/>
              </w:rPr>
            </w:pPr>
            <w:r>
              <w:rPr>
                <w:rFonts w:ascii="Tw Cen MT" w:hAnsi="Tw Cen MT"/>
                <w:color w:val="404040"/>
                <w:sz w:val="20"/>
              </w:rPr>
              <w:t>49</w:t>
            </w:r>
          </w:p>
        </w:tc>
      </w:tr>
      <w:tr w:rsidR="00396941" w:rsidRPr="000E063D" w14:paraId="42EA0222" w14:textId="77777777" w:rsidTr="002D4995">
        <w:trPr>
          <w:cantSplit/>
          <w:trHeight w:val="260"/>
          <w:jc w:val="center"/>
        </w:trPr>
        <w:tc>
          <w:tcPr>
            <w:tcW w:w="827" w:type="dxa"/>
            <w:tcBorders>
              <w:bottom w:val="single" w:sz="4" w:space="0" w:color="auto"/>
            </w:tcBorders>
            <w:vAlign w:val="center"/>
          </w:tcPr>
          <w:p w14:paraId="0B942654"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5</w:t>
            </w:r>
          </w:p>
        </w:tc>
        <w:tc>
          <w:tcPr>
            <w:tcW w:w="1477" w:type="dxa"/>
            <w:tcBorders>
              <w:bottom w:val="single" w:sz="4" w:space="0" w:color="auto"/>
            </w:tcBorders>
            <w:shd w:val="clear" w:color="auto" w:fill="000000" w:themeFill="text1"/>
            <w:vAlign w:val="center"/>
          </w:tcPr>
          <w:p w14:paraId="4D8F0C3A"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03D4F141" w14:textId="77777777" w:rsidR="00396941" w:rsidRPr="000E063D" w:rsidRDefault="00396941" w:rsidP="002D4995">
            <w:pPr>
              <w:spacing w:after="0"/>
              <w:jc w:val="center"/>
              <w:rPr>
                <w:rFonts w:ascii="Tw Cen MT" w:hAnsi="Tw Cen MT"/>
                <w:color w:val="404040"/>
                <w:sz w:val="20"/>
              </w:rPr>
            </w:pPr>
          </w:p>
        </w:tc>
        <w:tc>
          <w:tcPr>
            <w:tcW w:w="1223" w:type="dxa"/>
            <w:shd w:val="clear" w:color="auto" w:fill="000000" w:themeFill="text1"/>
            <w:vAlign w:val="center"/>
          </w:tcPr>
          <w:p w14:paraId="1B37F879" w14:textId="77777777" w:rsidR="00396941" w:rsidRPr="000E063D" w:rsidRDefault="00396941" w:rsidP="002D4995">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4D43F3BA" w14:textId="77777777" w:rsidR="00396941" w:rsidRPr="000E063D" w:rsidRDefault="00396941" w:rsidP="002D4995">
            <w:pPr>
              <w:spacing w:after="0"/>
              <w:jc w:val="center"/>
              <w:rPr>
                <w:rFonts w:ascii="Tw Cen MT" w:hAnsi="Tw Cen MT"/>
                <w:color w:val="404040"/>
                <w:sz w:val="20"/>
              </w:rPr>
            </w:pPr>
          </w:p>
        </w:tc>
      </w:tr>
      <w:tr w:rsidR="00396941" w:rsidRPr="000E063D" w14:paraId="466CA60D" w14:textId="77777777" w:rsidTr="002D4995">
        <w:trPr>
          <w:cantSplit/>
          <w:trHeight w:val="260"/>
          <w:jc w:val="center"/>
        </w:trPr>
        <w:tc>
          <w:tcPr>
            <w:tcW w:w="827" w:type="dxa"/>
            <w:tcBorders>
              <w:bottom w:val="single" w:sz="4" w:space="0" w:color="auto"/>
            </w:tcBorders>
            <w:vAlign w:val="center"/>
          </w:tcPr>
          <w:p w14:paraId="2660AAD8"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6</w:t>
            </w:r>
          </w:p>
        </w:tc>
        <w:tc>
          <w:tcPr>
            <w:tcW w:w="1477" w:type="dxa"/>
            <w:tcBorders>
              <w:bottom w:val="single" w:sz="4" w:space="0" w:color="auto"/>
            </w:tcBorders>
            <w:shd w:val="clear" w:color="auto" w:fill="000000" w:themeFill="text1"/>
            <w:vAlign w:val="center"/>
          </w:tcPr>
          <w:p w14:paraId="6586E7CC"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03777A52" w14:textId="77777777" w:rsidR="00396941" w:rsidRPr="000E063D" w:rsidRDefault="00396941" w:rsidP="002D4995">
            <w:pPr>
              <w:spacing w:after="0"/>
              <w:jc w:val="center"/>
              <w:rPr>
                <w:rFonts w:ascii="Tw Cen MT" w:hAnsi="Tw Cen MT"/>
                <w:color w:val="404040"/>
                <w:sz w:val="20"/>
              </w:rPr>
            </w:pPr>
          </w:p>
        </w:tc>
        <w:tc>
          <w:tcPr>
            <w:tcW w:w="1223" w:type="dxa"/>
            <w:shd w:val="clear" w:color="auto" w:fill="000000" w:themeFill="text1"/>
            <w:vAlign w:val="center"/>
          </w:tcPr>
          <w:p w14:paraId="199C3CE9" w14:textId="77777777" w:rsidR="00396941" w:rsidRPr="000E063D" w:rsidRDefault="00396941" w:rsidP="002D4995">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19D97510" w14:textId="77777777" w:rsidR="00396941" w:rsidRPr="000E063D" w:rsidRDefault="00396941" w:rsidP="002D4995">
            <w:pPr>
              <w:spacing w:after="0"/>
              <w:jc w:val="center"/>
              <w:rPr>
                <w:rFonts w:ascii="Tw Cen MT" w:hAnsi="Tw Cen MT"/>
                <w:color w:val="404040"/>
                <w:sz w:val="20"/>
              </w:rPr>
            </w:pPr>
          </w:p>
        </w:tc>
      </w:tr>
      <w:tr w:rsidR="00396941" w:rsidRPr="000E063D" w14:paraId="543C7B9D" w14:textId="77777777" w:rsidTr="002D4995">
        <w:trPr>
          <w:cantSplit/>
          <w:trHeight w:val="260"/>
          <w:jc w:val="center"/>
        </w:trPr>
        <w:tc>
          <w:tcPr>
            <w:tcW w:w="827" w:type="dxa"/>
            <w:tcBorders>
              <w:bottom w:val="single" w:sz="4" w:space="0" w:color="auto"/>
            </w:tcBorders>
            <w:vAlign w:val="center"/>
          </w:tcPr>
          <w:p w14:paraId="512B2640"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7</w:t>
            </w:r>
          </w:p>
        </w:tc>
        <w:tc>
          <w:tcPr>
            <w:tcW w:w="1477" w:type="dxa"/>
            <w:tcBorders>
              <w:bottom w:val="single" w:sz="4" w:space="0" w:color="auto"/>
            </w:tcBorders>
            <w:shd w:val="clear" w:color="auto" w:fill="000000" w:themeFill="text1"/>
            <w:vAlign w:val="center"/>
          </w:tcPr>
          <w:p w14:paraId="7F6743CE"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37A13EE1" w14:textId="77777777" w:rsidR="00396941" w:rsidRPr="000E063D" w:rsidRDefault="00396941" w:rsidP="002D4995">
            <w:pPr>
              <w:spacing w:after="0"/>
              <w:jc w:val="center"/>
              <w:rPr>
                <w:rFonts w:ascii="Tw Cen MT" w:hAnsi="Tw Cen MT"/>
                <w:color w:val="404040"/>
                <w:sz w:val="20"/>
              </w:rPr>
            </w:pPr>
          </w:p>
        </w:tc>
        <w:tc>
          <w:tcPr>
            <w:tcW w:w="1223" w:type="dxa"/>
            <w:shd w:val="clear" w:color="auto" w:fill="000000" w:themeFill="text1"/>
            <w:vAlign w:val="center"/>
          </w:tcPr>
          <w:p w14:paraId="3FF6201F" w14:textId="77777777" w:rsidR="00396941" w:rsidRPr="000E063D" w:rsidRDefault="00396941" w:rsidP="002D4995">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603B0BB1" w14:textId="77777777" w:rsidR="00396941" w:rsidRPr="000E063D" w:rsidRDefault="00396941" w:rsidP="002D4995">
            <w:pPr>
              <w:spacing w:after="0"/>
              <w:jc w:val="center"/>
              <w:rPr>
                <w:rFonts w:ascii="Tw Cen MT" w:hAnsi="Tw Cen MT"/>
                <w:color w:val="404040"/>
                <w:sz w:val="20"/>
              </w:rPr>
            </w:pPr>
          </w:p>
        </w:tc>
      </w:tr>
      <w:tr w:rsidR="00396941" w:rsidRPr="000E063D" w14:paraId="4386CD74" w14:textId="77777777" w:rsidTr="002D4995">
        <w:trPr>
          <w:cantSplit/>
          <w:trHeight w:val="260"/>
          <w:jc w:val="center"/>
        </w:trPr>
        <w:tc>
          <w:tcPr>
            <w:tcW w:w="827" w:type="dxa"/>
            <w:tcBorders>
              <w:bottom w:val="double" w:sz="4" w:space="0" w:color="auto"/>
            </w:tcBorders>
            <w:vAlign w:val="center"/>
          </w:tcPr>
          <w:p w14:paraId="2F5F089C"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8</w:t>
            </w:r>
          </w:p>
        </w:tc>
        <w:tc>
          <w:tcPr>
            <w:tcW w:w="1477" w:type="dxa"/>
            <w:tcBorders>
              <w:bottom w:val="double" w:sz="4" w:space="0" w:color="auto"/>
            </w:tcBorders>
            <w:shd w:val="clear" w:color="auto" w:fill="000000" w:themeFill="text1"/>
            <w:vAlign w:val="center"/>
          </w:tcPr>
          <w:p w14:paraId="6BDA0297" w14:textId="77777777" w:rsidR="00396941" w:rsidRPr="000E063D" w:rsidRDefault="00396941" w:rsidP="002D4995">
            <w:pPr>
              <w:spacing w:after="0"/>
              <w:jc w:val="center"/>
              <w:rPr>
                <w:rFonts w:ascii="Tw Cen MT" w:hAnsi="Tw Cen MT"/>
                <w:color w:val="404040"/>
                <w:sz w:val="20"/>
              </w:rPr>
            </w:pPr>
          </w:p>
        </w:tc>
        <w:tc>
          <w:tcPr>
            <w:tcW w:w="1350" w:type="dxa"/>
            <w:tcBorders>
              <w:bottom w:val="double" w:sz="4" w:space="0" w:color="auto"/>
            </w:tcBorders>
            <w:shd w:val="clear" w:color="auto" w:fill="000000" w:themeFill="text1"/>
            <w:vAlign w:val="center"/>
          </w:tcPr>
          <w:p w14:paraId="25A2445B" w14:textId="77777777" w:rsidR="00396941" w:rsidRPr="000E063D" w:rsidRDefault="00396941" w:rsidP="002D4995">
            <w:pPr>
              <w:spacing w:after="0"/>
              <w:jc w:val="center"/>
              <w:rPr>
                <w:rFonts w:ascii="Tw Cen MT" w:hAnsi="Tw Cen MT"/>
                <w:color w:val="404040"/>
                <w:sz w:val="20"/>
              </w:rPr>
            </w:pPr>
          </w:p>
        </w:tc>
        <w:tc>
          <w:tcPr>
            <w:tcW w:w="1223" w:type="dxa"/>
            <w:tcBorders>
              <w:bottom w:val="double" w:sz="4" w:space="0" w:color="auto"/>
            </w:tcBorders>
            <w:shd w:val="clear" w:color="auto" w:fill="000000" w:themeFill="text1"/>
            <w:vAlign w:val="center"/>
          </w:tcPr>
          <w:p w14:paraId="5D25274E" w14:textId="77777777" w:rsidR="00396941" w:rsidRPr="000E063D" w:rsidRDefault="00396941" w:rsidP="002D4995">
            <w:pPr>
              <w:spacing w:after="0"/>
              <w:jc w:val="center"/>
              <w:rPr>
                <w:rFonts w:ascii="Tw Cen MT" w:hAnsi="Tw Cen MT"/>
                <w:color w:val="404040"/>
                <w:sz w:val="20"/>
              </w:rPr>
            </w:pPr>
          </w:p>
        </w:tc>
        <w:tc>
          <w:tcPr>
            <w:tcW w:w="1350" w:type="dxa"/>
            <w:tcBorders>
              <w:bottom w:val="double" w:sz="4" w:space="0" w:color="auto"/>
            </w:tcBorders>
            <w:shd w:val="clear" w:color="auto" w:fill="000000" w:themeFill="text1"/>
            <w:vAlign w:val="center"/>
          </w:tcPr>
          <w:p w14:paraId="7561C9C7" w14:textId="77777777" w:rsidR="00396941" w:rsidRPr="000E063D" w:rsidRDefault="00396941" w:rsidP="002D4995">
            <w:pPr>
              <w:spacing w:after="0"/>
              <w:jc w:val="center"/>
              <w:rPr>
                <w:rFonts w:ascii="Tw Cen MT" w:hAnsi="Tw Cen MT"/>
                <w:color w:val="404040"/>
                <w:sz w:val="20"/>
              </w:rPr>
            </w:pPr>
          </w:p>
        </w:tc>
      </w:tr>
      <w:tr w:rsidR="00396941" w:rsidRPr="000E063D" w14:paraId="45E05BBF" w14:textId="77777777" w:rsidTr="002D4995">
        <w:trPr>
          <w:cantSplit/>
          <w:trHeight w:val="240"/>
          <w:jc w:val="center"/>
        </w:trPr>
        <w:tc>
          <w:tcPr>
            <w:tcW w:w="827" w:type="dxa"/>
            <w:tcBorders>
              <w:top w:val="double" w:sz="4" w:space="0" w:color="auto"/>
              <w:bottom w:val="single" w:sz="4" w:space="0" w:color="auto"/>
            </w:tcBorders>
            <w:vAlign w:val="center"/>
          </w:tcPr>
          <w:p w14:paraId="2584C637"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All </w:t>
            </w:r>
          </w:p>
        </w:tc>
        <w:tc>
          <w:tcPr>
            <w:tcW w:w="1477" w:type="dxa"/>
            <w:tcBorders>
              <w:top w:val="double" w:sz="4" w:space="0" w:color="auto"/>
              <w:bottom w:val="single" w:sz="4" w:space="0" w:color="auto"/>
            </w:tcBorders>
            <w:vAlign w:val="center"/>
          </w:tcPr>
          <w:p w14:paraId="71B4F51C"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17%</w:t>
            </w:r>
          </w:p>
        </w:tc>
        <w:tc>
          <w:tcPr>
            <w:tcW w:w="1350" w:type="dxa"/>
            <w:tcBorders>
              <w:top w:val="double" w:sz="4" w:space="0" w:color="auto"/>
              <w:bottom w:val="single" w:sz="4" w:space="0" w:color="auto"/>
            </w:tcBorders>
            <w:vAlign w:val="center"/>
          </w:tcPr>
          <w:p w14:paraId="462C17CD"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163</w:t>
            </w:r>
          </w:p>
        </w:tc>
        <w:tc>
          <w:tcPr>
            <w:tcW w:w="1223" w:type="dxa"/>
            <w:tcBorders>
              <w:top w:val="double" w:sz="4" w:space="0" w:color="auto"/>
              <w:bottom w:val="single" w:sz="4" w:space="0" w:color="auto"/>
            </w:tcBorders>
            <w:vAlign w:val="center"/>
          </w:tcPr>
          <w:p w14:paraId="2499EB37" w14:textId="1956ABE3" w:rsidR="00396941" w:rsidRPr="000E063D" w:rsidRDefault="001150A6" w:rsidP="002D4995">
            <w:pPr>
              <w:spacing w:after="0"/>
              <w:jc w:val="center"/>
              <w:rPr>
                <w:rFonts w:ascii="Tw Cen MT" w:hAnsi="Tw Cen MT"/>
                <w:color w:val="404040"/>
                <w:sz w:val="20"/>
              </w:rPr>
            </w:pPr>
            <w:r>
              <w:rPr>
                <w:rFonts w:ascii="Tw Cen MT" w:hAnsi="Tw Cen MT"/>
                <w:color w:val="404040"/>
                <w:sz w:val="20"/>
              </w:rPr>
              <w:t>18%</w:t>
            </w:r>
          </w:p>
        </w:tc>
        <w:tc>
          <w:tcPr>
            <w:tcW w:w="1350" w:type="dxa"/>
            <w:tcBorders>
              <w:top w:val="double" w:sz="4" w:space="0" w:color="auto"/>
              <w:bottom w:val="single" w:sz="4" w:space="0" w:color="auto"/>
            </w:tcBorders>
            <w:vAlign w:val="center"/>
          </w:tcPr>
          <w:p w14:paraId="3FE16B5B" w14:textId="2409A402" w:rsidR="00396941" w:rsidRPr="000E063D" w:rsidRDefault="001150A6" w:rsidP="002D4995">
            <w:pPr>
              <w:spacing w:after="0"/>
              <w:jc w:val="center"/>
              <w:rPr>
                <w:rFonts w:ascii="Tw Cen MT" w:hAnsi="Tw Cen MT"/>
                <w:color w:val="404040"/>
                <w:sz w:val="20"/>
              </w:rPr>
            </w:pPr>
            <w:r>
              <w:rPr>
                <w:rFonts w:ascii="Tw Cen MT" w:hAnsi="Tw Cen MT"/>
                <w:color w:val="404040"/>
                <w:sz w:val="20"/>
              </w:rPr>
              <w:t>153</w:t>
            </w:r>
          </w:p>
        </w:tc>
      </w:tr>
    </w:tbl>
    <w:p w14:paraId="4B2C987C" w14:textId="77777777" w:rsidR="00396941" w:rsidRPr="000E063D" w:rsidRDefault="00396941" w:rsidP="00396941">
      <w:pPr>
        <w:spacing w:after="160" w:line="259" w:lineRule="auto"/>
        <w:rPr>
          <w:rFonts w:ascii="Tw Cen MT" w:eastAsia="Calibri" w:hAnsi="Tw Cen MT"/>
          <w:color w:val="auto"/>
          <w:sz w:val="22"/>
          <w:szCs w:val="22"/>
        </w:rPr>
      </w:pPr>
    </w:p>
    <w:p w14:paraId="08E2AEAF" w14:textId="77777777" w:rsidR="00396941" w:rsidRPr="000E063D" w:rsidRDefault="00396941" w:rsidP="00396941">
      <w:pPr>
        <w:spacing w:after="160" w:line="259" w:lineRule="auto"/>
        <w:rPr>
          <w:rFonts w:ascii="Tw Cen MT" w:eastAsia="Calibri" w:hAnsi="Tw Cen MT"/>
          <w:color w:val="auto"/>
          <w:sz w:val="22"/>
          <w:szCs w:val="22"/>
        </w:rPr>
      </w:pPr>
    </w:p>
    <w:p w14:paraId="7B5416AF" w14:textId="42FAF5E0" w:rsidR="00396941" w:rsidRPr="000E063D" w:rsidRDefault="00396941" w:rsidP="00396941">
      <w:pPr>
        <w:widowControl w:val="0"/>
        <w:shd w:val="clear" w:color="auto" w:fill="8DB3E2"/>
        <w:spacing w:after="40"/>
        <w:jc w:val="center"/>
        <w:rPr>
          <w:rFonts w:ascii="Tw Cen MT" w:hAnsi="Tw Cen MT"/>
          <w:color w:val="FFFFFF"/>
        </w:rPr>
      </w:pPr>
      <w:r w:rsidRPr="000E063D">
        <w:rPr>
          <w:rFonts w:ascii="Tw Cen MT" w:hAnsi="Tw Cen MT"/>
          <w:color w:val="FFFFFF"/>
        </w:rPr>
        <w:t>End of Year Growth on 2021-22 NWEA MAP ELA Assessment</w:t>
      </w:r>
    </w:p>
    <w:p w14:paraId="63F730BB" w14:textId="77777777" w:rsidR="00396941" w:rsidRPr="000E063D" w:rsidRDefault="00396941" w:rsidP="00396941">
      <w:pPr>
        <w:widowControl w:val="0"/>
        <w:shd w:val="clear" w:color="auto" w:fill="8DB3E2"/>
        <w:spacing w:after="40"/>
        <w:jc w:val="center"/>
        <w:rPr>
          <w:rFonts w:ascii="Tw Cen MT" w:hAnsi="Tw Cen MT"/>
          <w:color w:val="FFFFFF"/>
        </w:rPr>
      </w:pPr>
      <w:r w:rsidRPr="000E063D">
        <w:rPr>
          <w:rFonts w:ascii="Tw Cen MT" w:hAnsi="Tw Cen MT"/>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tblGrid>
      <w:tr w:rsidR="00396941" w:rsidRPr="000E063D" w14:paraId="5787028C" w14:textId="77777777" w:rsidTr="002D4995">
        <w:trPr>
          <w:cantSplit/>
          <w:trHeight w:val="611"/>
          <w:jc w:val="center"/>
        </w:trPr>
        <w:tc>
          <w:tcPr>
            <w:tcW w:w="827" w:type="dxa"/>
            <w:vAlign w:val="center"/>
          </w:tcPr>
          <w:p w14:paraId="1D156B33"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Grades</w:t>
            </w:r>
          </w:p>
        </w:tc>
        <w:tc>
          <w:tcPr>
            <w:tcW w:w="1477" w:type="dxa"/>
            <w:vAlign w:val="center"/>
          </w:tcPr>
          <w:p w14:paraId="59BE4144"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Median Growth Percentile</w:t>
            </w:r>
          </w:p>
        </w:tc>
        <w:tc>
          <w:tcPr>
            <w:tcW w:w="1350" w:type="dxa"/>
            <w:vAlign w:val="center"/>
          </w:tcPr>
          <w:p w14:paraId="72DAC151"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Number</w:t>
            </w:r>
          </w:p>
          <w:p w14:paraId="4D3724AE"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 xml:space="preserve">Tested </w:t>
            </w:r>
          </w:p>
        </w:tc>
      </w:tr>
      <w:tr w:rsidR="00396941" w:rsidRPr="000E063D" w14:paraId="4BAC1890" w14:textId="77777777" w:rsidTr="002D4995">
        <w:trPr>
          <w:cantSplit/>
          <w:trHeight w:val="305"/>
          <w:jc w:val="center"/>
        </w:trPr>
        <w:tc>
          <w:tcPr>
            <w:tcW w:w="827" w:type="dxa"/>
            <w:tcBorders>
              <w:bottom w:val="single" w:sz="4" w:space="0" w:color="auto"/>
            </w:tcBorders>
            <w:vAlign w:val="center"/>
          </w:tcPr>
          <w:p w14:paraId="71799ECE" w14:textId="77777777" w:rsidR="00396941" w:rsidRDefault="00396941" w:rsidP="002D4995">
            <w:pPr>
              <w:spacing w:after="0"/>
              <w:jc w:val="center"/>
              <w:rPr>
                <w:rFonts w:ascii="Tw Cen MT" w:hAnsi="Tw Cen MT"/>
                <w:color w:val="404040"/>
                <w:sz w:val="20"/>
              </w:rPr>
            </w:pPr>
            <w:r>
              <w:rPr>
                <w:rFonts w:ascii="Tw Cen MT" w:hAnsi="Tw Cen MT"/>
                <w:color w:val="404040"/>
                <w:sz w:val="20"/>
              </w:rPr>
              <w:t>K</w:t>
            </w:r>
          </w:p>
        </w:tc>
        <w:tc>
          <w:tcPr>
            <w:tcW w:w="1477" w:type="dxa"/>
            <w:tcBorders>
              <w:bottom w:val="single" w:sz="4" w:space="0" w:color="auto"/>
            </w:tcBorders>
            <w:vAlign w:val="center"/>
          </w:tcPr>
          <w:p w14:paraId="61CE3EE4" w14:textId="10FBCD39" w:rsidR="00396941" w:rsidRPr="000E063D" w:rsidRDefault="00843061" w:rsidP="002D4995">
            <w:pPr>
              <w:spacing w:after="0"/>
              <w:jc w:val="center"/>
              <w:rPr>
                <w:rFonts w:ascii="Tw Cen MT" w:hAnsi="Tw Cen MT"/>
                <w:color w:val="404040"/>
                <w:sz w:val="20"/>
              </w:rPr>
            </w:pPr>
            <w:r>
              <w:rPr>
                <w:rFonts w:ascii="Tw Cen MT" w:hAnsi="Tw Cen MT"/>
                <w:color w:val="404040"/>
                <w:sz w:val="20"/>
              </w:rPr>
              <w:t>54</w:t>
            </w:r>
          </w:p>
        </w:tc>
        <w:tc>
          <w:tcPr>
            <w:tcW w:w="1350" w:type="dxa"/>
            <w:vAlign w:val="center"/>
          </w:tcPr>
          <w:p w14:paraId="404FACFC" w14:textId="371499A1" w:rsidR="00396941" w:rsidRPr="000E063D" w:rsidRDefault="00843061" w:rsidP="002D4995">
            <w:pPr>
              <w:spacing w:after="0"/>
              <w:jc w:val="center"/>
              <w:rPr>
                <w:rFonts w:ascii="Tw Cen MT" w:hAnsi="Tw Cen MT"/>
                <w:color w:val="404040"/>
                <w:sz w:val="20"/>
              </w:rPr>
            </w:pPr>
            <w:r>
              <w:rPr>
                <w:rFonts w:ascii="Tw Cen MT" w:hAnsi="Tw Cen MT"/>
                <w:color w:val="404040"/>
                <w:sz w:val="20"/>
              </w:rPr>
              <w:t>50</w:t>
            </w:r>
          </w:p>
        </w:tc>
      </w:tr>
      <w:tr w:rsidR="00396941" w:rsidRPr="000E063D" w14:paraId="03029C8B" w14:textId="77777777" w:rsidTr="002D4995">
        <w:trPr>
          <w:cantSplit/>
          <w:trHeight w:val="305"/>
          <w:jc w:val="center"/>
        </w:trPr>
        <w:tc>
          <w:tcPr>
            <w:tcW w:w="827" w:type="dxa"/>
            <w:tcBorders>
              <w:bottom w:val="single" w:sz="4" w:space="0" w:color="auto"/>
            </w:tcBorders>
            <w:vAlign w:val="center"/>
          </w:tcPr>
          <w:p w14:paraId="24371E10" w14:textId="77777777" w:rsidR="00396941" w:rsidRDefault="00396941" w:rsidP="002D4995">
            <w:pPr>
              <w:spacing w:after="0"/>
              <w:jc w:val="center"/>
              <w:rPr>
                <w:rFonts w:ascii="Tw Cen MT" w:hAnsi="Tw Cen MT"/>
                <w:color w:val="404040"/>
                <w:sz w:val="20"/>
              </w:rPr>
            </w:pPr>
            <w:r>
              <w:rPr>
                <w:rFonts w:ascii="Tw Cen MT" w:hAnsi="Tw Cen MT"/>
                <w:color w:val="404040"/>
                <w:sz w:val="20"/>
              </w:rPr>
              <w:t>1</w:t>
            </w:r>
          </w:p>
        </w:tc>
        <w:tc>
          <w:tcPr>
            <w:tcW w:w="1477" w:type="dxa"/>
            <w:tcBorders>
              <w:bottom w:val="single" w:sz="4" w:space="0" w:color="auto"/>
            </w:tcBorders>
            <w:vAlign w:val="center"/>
          </w:tcPr>
          <w:p w14:paraId="718905CE" w14:textId="4A457E24" w:rsidR="00396941" w:rsidRPr="000E063D" w:rsidRDefault="00843061" w:rsidP="002D4995">
            <w:pPr>
              <w:spacing w:after="0"/>
              <w:jc w:val="center"/>
              <w:rPr>
                <w:rFonts w:ascii="Tw Cen MT" w:hAnsi="Tw Cen MT"/>
                <w:color w:val="404040"/>
                <w:sz w:val="20"/>
              </w:rPr>
            </w:pPr>
            <w:r>
              <w:rPr>
                <w:rFonts w:ascii="Tw Cen MT" w:hAnsi="Tw Cen MT"/>
                <w:color w:val="404040"/>
                <w:sz w:val="20"/>
              </w:rPr>
              <w:t>57</w:t>
            </w:r>
          </w:p>
        </w:tc>
        <w:tc>
          <w:tcPr>
            <w:tcW w:w="1350" w:type="dxa"/>
            <w:vAlign w:val="center"/>
          </w:tcPr>
          <w:p w14:paraId="30B0A04E" w14:textId="35809A9C" w:rsidR="00396941" w:rsidRPr="000E063D" w:rsidRDefault="008D7D05" w:rsidP="002D4995">
            <w:pPr>
              <w:spacing w:after="0"/>
              <w:jc w:val="center"/>
              <w:rPr>
                <w:rFonts w:ascii="Tw Cen MT" w:hAnsi="Tw Cen MT"/>
                <w:color w:val="404040"/>
                <w:sz w:val="20"/>
              </w:rPr>
            </w:pPr>
            <w:r>
              <w:rPr>
                <w:rFonts w:ascii="Tw Cen MT" w:hAnsi="Tw Cen MT"/>
                <w:color w:val="404040"/>
                <w:sz w:val="20"/>
              </w:rPr>
              <w:t>50</w:t>
            </w:r>
          </w:p>
        </w:tc>
      </w:tr>
      <w:tr w:rsidR="00396941" w:rsidRPr="000E063D" w14:paraId="0932B394" w14:textId="77777777" w:rsidTr="002D4995">
        <w:trPr>
          <w:cantSplit/>
          <w:trHeight w:val="305"/>
          <w:jc w:val="center"/>
        </w:trPr>
        <w:tc>
          <w:tcPr>
            <w:tcW w:w="827" w:type="dxa"/>
            <w:tcBorders>
              <w:bottom w:val="single" w:sz="4" w:space="0" w:color="auto"/>
            </w:tcBorders>
            <w:vAlign w:val="center"/>
          </w:tcPr>
          <w:p w14:paraId="163C298F" w14:textId="77777777" w:rsidR="00396941" w:rsidRPr="000E063D" w:rsidRDefault="00396941" w:rsidP="002D4995">
            <w:pPr>
              <w:spacing w:after="0"/>
              <w:jc w:val="center"/>
              <w:rPr>
                <w:rFonts w:ascii="Tw Cen MT" w:hAnsi="Tw Cen MT"/>
                <w:color w:val="404040"/>
                <w:sz w:val="20"/>
              </w:rPr>
            </w:pPr>
            <w:r>
              <w:rPr>
                <w:rFonts w:ascii="Tw Cen MT" w:hAnsi="Tw Cen MT"/>
                <w:color w:val="404040"/>
                <w:sz w:val="20"/>
              </w:rPr>
              <w:t>2</w:t>
            </w:r>
          </w:p>
        </w:tc>
        <w:tc>
          <w:tcPr>
            <w:tcW w:w="1477" w:type="dxa"/>
            <w:tcBorders>
              <w:bottom w:val="single" w:sz="4" w:space="0" w:color="auto"/>
            </w:tcBorders>
            <w:vAlign w:val="center"/>
          </w:tcPr>
          <w:p w14:paraId="1D131B1C" w14:textId="44FC8FAA" w:rsidR="00396941" w:rsidRPr="000E063D" w:rsidRDefault="00843061" w:rsidP="002D4995">
            <w:pPr>
              <w:spacing w:after="0"/>
              <w:jc w:val="center"/>
              <w:rPr>
                <w:rFonts w:ascii="Tw Cen MT" w:hAnsi="Tw Cen MT"/>
                <w:color w:val="404040"/>
                <w:sz w:val="20"/>
              </w:rPr>
            </w:pPr>
            <w:r>
              <w:rPr>
                <w:rFonts w:ascii="Tw Cen MT" w:hAnsi="Tw Cen MT"/>
                <w:color w:val="404040"/>
                <w:sz w:val="20"/>
              </w:rPr>
              <w:t>41</w:t>
            </w:r>
          </w:p>
        </w:tc>
        <w:tc>
          <w:tcPr>
            <w:tcW w:w="1350" w:type="dxa"/>
            <w:vAlign w:val="center"/>
          </w:tcPr>
          <w:p w14:paraId="0103C895" w14:textId="2E7FB292" w:rsidR="00396941" w:rsidRPr="000E063D" w:rsidRDefault="008D7D05" w:rsidP="002D4995">
            <w:pPr>
              <w:spacing w:after="0"/>
              <w:jc w:val="center"/>
              <w:rPr>
                <w:rFonts w:ascii="Tw Cen MT" w:hAnsi="Tw Cen MT"/>
                <w:color w:val="404040"/>
                <w:sz w:val="20"/>
              </w:rPr>
            </w:pPr>
            <w:r>
              <w:rPr>
                <w:rFonts w:ascii="Tw Cen MT" w:hAnsi="Tw Cen MT"/>
                <w:color w:val="404040"/>
                <w:sz w:val="20"/>
              </w:rPr>
              <w:t>54</w:t>
            </w:r>
          </w:p>
        </w:tc>
      </w:tr>
      <w:tr w:rsidR="00396941" w:rsidRPr="000E063D" w14:paraId="4EC38DF3" w14:textId="77777777" w:rsidTr="002D4995">
        <w:trPr>
          <w:cantSplit/>
          <w:trHeight w:val="305"/>
          <w:jc w:val="center"/>
        </w:trPr>
        <w:tc>
          <w:tcPr>
            <w:tcW w:w="827" w:type="dxa"/>
            <w:tcBorders>
              <w:bottom w:val="single" w:sz="4" w:space="0" w:color="auto"/>
            </w:tcBorders>
            <w:vAlign w:val="center"/>
          </w:tcPr>
          <w:p w14:paraId="791FF820"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3</w:t>
            </w:r>
          </w:p>
        </w:tc>
        <w:tc>
          <w:tcPr>
            <w:tcW w:w="1477" w:type="dxa"/>
            <w:tcBorders>
              <w:bottom w:val="single" w:sz="4" w:space="0" w:color="auto"/>
            </w:tcBorders>
            <w:vAlign w:val="center"/>
          </w:tcPr>
          <w:p w14:paraId="5A7ED447" w14:textId="7BE1CEFD" w:rsidR="00396941" w:rsidRPr="000E063D" w:rsidRDefault="00843061" w:rsidP="002D4995">
            <w:pPr>
              <w:spacing w:after="0"/>
              <w:jc w:val="center"/>
              <w:rPr>
                <w:rFonts w:ascii="Tw Cen MT" w:hAnsi="Tw Cen MT"/>
                <w:color w:val="404040"/>
                <w:sz w:val="20"/>
              </w:rPr>
            </w:pPr>
            <w:r>
              <w:rPr>
                <w:rFonts w:ascii="Tw Cen MT" w:hAnsi="Tw Cen MT"/>
                <w:color w:val="404040"/>
                <w:sz w:val="20"/>
              </w:rPr>
              <w:t>82</w:t>
            </w:r>
          </w:p>
        </w:tc>
        <w:tc>
          <w:tcPr>
            <w:tcW w:w="1350" w:type="dxa"/>
            <w:vAlign w:val="center"/>
          </w:tcPr>
          <w:p w14:paraId="4EA2988F" w14:textId="3123EACE" w:rsidR="00396941" w:rsidRPr="000E063D" w:rsidRDefault="008D7D05" w:rsidP="002D4995">
            <w:pPr>
              <w:spacing w:after="0"/>
              <w:jc w:val="center"/>
              <w:rPr>
                <w:rFonts w:ascii="Tw Cen MT" w:hAnsi="Tw Cen MT"/>
                <w:color w:val="404040"/>
                <w:sz w:val="20"/>
              </w:rPr>
            </w:pPr>
            <w:r>
              <w:rPr>
                <w:rFonts w:ascii="Tw Cen MT" w:hAnsi="Tw Cen MT"/>
                <w:color w:val="404040"/>
                <w:sz w:val="20"/>
              </w:rPr>
              <w:t>52</w:t>
            </w:r>
          </w:p>
        </w:tc>
      </w:tr>
      <w:tr w:rsidR="00396941" w:rsidRPr="000E063D" w14:paraId="4958E95A" w14:textId="77777777" w:rsidTr="002D4995">
        <w:trPr>
          <w:cantSplit/>
          <w:trHeight w:val="260"/>
          <w:jc w:val="center"/>
        </w:trPr>
        <w:tc>
          <w:tcPr>
            <w:tcW w:w="827" w:type="dxa"/>
            <w:tcBorders>
              <w:bottom w:val="single" w:sz="4" w:space="0" w:color="auto"/>
            </w:tcBorders>
            <w:vAlign w:val="center"/>
          </w:tcPr>
          <w:p w14:paraId="3F29819D"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4</w:t>
            </w:r>
          </w:p>
        </w:tc>
        <w:tc>
          <w:tcPr>
            <w:tcW w:w="1477" w:type="dxa"/>
            <w:tcBorders>
              <w:bottom w:val="single" w:sz="4" w:space="0" w:color="auto"/>
            </w:tcBorders>
            <w:vAlign w:val="center"/>
          </w:tcPr>
          <w:p w14:paraId="365E31D0" w14:textId="35D2741D" w:rsidR="00396941" w:rsidRPr="000E063D" w:rsidRDefault="00843061" w:rsidP="002D4995">
            <w:pPr>
              <w:spacing w:after="0"/>
              <w:jc w:val="center"/>
              <w:rPr>
                <w:rFonts w:ascii="Tw Cen MT" w:hAnsi="Tw Cen MT"/>
                <w:color w:val="404040"/>
                <w:sz w:val="20"/>
              </w:rPr>
            </w:pPr>
            <w:r>
              <w:rPr>
                <w:rFonts w:ascii="Tw Cen MT" w:hAnsi="Tw Cen MT"/>
                <w:color w:val="404040"/>
                <w:sz w:val="20"/>
              </w:rPr>
              <w:t>63</w:t>
            </w:r>
          </w:p>
        </w:tc>
        <w:tc>
          <w:tcPr>
            <w:tcW w:w="1350" w:type="dxa"/>
            <w:vAlign w:val="center"/>
          </w:tcPr>
          <w:p w14:paraId="56A9C0DE" w14:textId="248CE4B2" w:rsidR="00396941" w:rsidRPr="000E063D" w:rsidRDefault="008D7D05" w:rsidP="002D4995">
            <w:pPr>
              <w:spacing w:after="0"/>
              <w:jc w:val="center"/>
              <w:rPr>
                <w:rFonts w:ascii="Tw Cen MT" w:hAnsi="Tw Cen MT"/>
                <w:color w:val="404040"/>
                <w:sz w:val="20"/>
              </w:rPr>
            </w:pPr>
            <w:r>
              <w:rPr>
                <w:rFonts w:ascii="Tw Cen MT" w:hAnsi="Tw Cen MT"/>
                <w:color w:val="404040"/>
                <w:sz w:val="20"/>
              </w:rPr>
              <w:t>51</w:t>
            </w:r>
          </w:p>
        </w:tc>
      </w:tr>
      <w:tr w:rsidR="00396941" w:rsidRPr="000E063D" w14:paraId="4AA5FA12" w14:textId="77777777" w:rsidTr="00843061">
        <w:trPr>
          <w:cantSplit/>
          <w:trHeight w:val="260"/>
          <w:jc w:val="center"/>
        </w:trPr>
        <w:tc>
          <w:tcPr>
            <w:tcW w:w="827" w:type="dxa"/>
            <w:tcBorders>
              <w:bottom w:val="single" w:sz="4" w:space="0" w:color="auto"/>
            </w:tcBorders>
            <w:vAlign w:val="center"/>
          </w:tcPr>
          <w:p w14:paraId="72FD0054"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5</w:t>
            </w:r>
          </w:p>
        </w:tc>
        <w:tc>
          <w:tcPr>
            <w:tcW w:w="1477" w:type="dxa"/>
            <w:tcBorders>
              <w:bottom w:val="single" w:sz="4" w:space="0" w:color="auto"/>
            </w:tcBorders>
            <w:shd w:val="clear" w:color="auto" w:fill="000000" w:themeFill="text1"/>
            <w:vAlign w:val="center"/>
          </w:tcPr>
          <w:p w14:paraId="6F028029"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4DFBA998" w14:textId="77777777" w:rsidR="00396941" w:rsidRPr="000E063D" w:rsidRDefault="00396941" w:rsidP="002D4995">
            <w:pPr>
              <w:spacing w:after="0"/>
              <w:jc w:val="center"/>
              <w:rPr>
                <w:rFonts w:ascii="Tw Cen MT" w:hAnsi="Tw Cen MT"/>
                <w:color w:val="404040"/>
                <w:sz w:val="20"/>
              </w:rPr>
            </w:pPr>
          </w:p>
        </w:tc>
      </w:tr>
      <w:tr w:rsidR="00396941" w:rsidRPr="000E063D" w14:paraId="6B28AEE7" w14:textId="77777777" w:rsidTr="00843061">
        <w:trPr>
          <w:cantSplit/>
          <w:trHeight w:val="260"/>
          <w:jc w:val="center"/>
        </w:trPr>
        <w:tc>
          <w:tcPr>
            <w:tcW w:w="827" w:type="dxa"/>
            <w:tcBorders>
              <w:bottom w:val="single" w:sz="4" w:space="0" w:color="auto"/>
            </w:tcBorders>
            <w:vAlign w:val="center"/>
          </w:tcPr>
          <w:p w14:paraId="5C7753D0"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6</w:t>
            </w:r>
          </w:p>
        </w:tc>
        <w:tc>
          <w:tcPr>
            <w:tcW w:w="1477" w:type="dxa"/>
            <w:tcBorders>
              <w:bottom w:val="single" w:sz="4" w:space="0" w:color="auto"/>
            </w:tcBorders>
            <w:shd w:val="clear" w:color="auto" w:fill="000000" w:themeFill="text1"/>
            <w:vAlign w:val="center"/>
          </w:tcPr>
          <w:p w14:paraId="68D73325"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22D1F174" w14:textId="77777777" w:rsidR="00396941" w:rsidRPr="000E063D" w:rsidRDefault="00396941" w:rsidP="002D4995">
            <w:pPr>
              <w:spacing w:after="0"/>
              <w:jc w:val="center"/>
              <w:rPr>
                <w:rFonts w:ascii="Tw Cen MT" w:hAnsi="Tw Cen MT"/>
                <w:color w:val="404040"/>
                <w:sz w:val="20"/>
              </w:rPr>
            </w:pPr>
          </w:p>
        </w:tc>
      </w:tr>
      <w:tr w:rsidR="00396941" w:rsidRPr="000E063D" w14:paraId="04456FFE" w14:textId="77777777" w:rsidTr="00843061">
        <w:trPr>
          <w:cantSplit/>
          <w:trHeight w:val="260"/>
          <w:jc w:val="center"/>
        </w:trPr>
        <w:tc>
          <w:tcPr>
            <w:tcW w:w="827" w:type="dxa"/>
            <w:tcBorders>
              <w:bottom w:val="single" w:sz="4" w:space="0" w:color="auto"/>
            </w:tcBorders>
            <w:vAlign w:val="center"/>
          </w:tcPr>
          <w:p w14:paraId="12CAC3DD"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7</w:t>
            </w:r>
          </w:p>
        </w:tc>
        <w:tc>
          <w:tcPr>
            <w:tcW w:w="1477" w:type="dxa"/>
            <w:tcBorders>
              <w:bottom w:val="single" w:sz="4" w:space="0" w:color="auto"/>
            </w:tcBorders>
            <w:shd w:val="clear" w:color="auto" w:fill="000000" w:themeFill="text1"/>
            <w:vAlign w:val="center"/>
          </w:tcPr>
          <w:p w14:paraId="07C8B727" w14:textId="77777777" w:rsidR="00396941" w:rsidRPr="000E063D" w:rsidRDefault="00396941" w:rsidP="002D4995">
            <w:pPr>
              <w:spacing w:after="0"/>
              <w:jc w:val="center"/>
              <w:rPr>
                <w:rFonts w:ascii="Tw Cen MT" w:hAnsi="Tw Cen MT"/>
                <w:color w:val="404040"/>
                <w:sz w:val="20"/>
              </w:rPr>
            </w:pPr>
          </w:p>
        </w:tc>
        <w:tc>
          <w:tcPr>
            <w:tcW w:w="1350" w:type="dxa"/>
            <w:shd w:val="clear" w:color="auto" w:fill="000000" w:themeFill="text1"/>
            <w:vAlign w:val="center"/>
          </w:tcPr>
          <w:p w14:paraId="3A26F9AF" w14:textId="77777777" w:rsidR="00396941" w:rsidRPr="000E063D" w:rsidRDefault="00396941" w:rsidP="002D4995">
            <w:pPr>
              <w:spacing w:after="0"/>
              <w:jc w:val="center"/>
              <w:rPr>
                <w:rFonts w:ascii="Tw Cen MT" w:hAnsi="Tw Cen MT"/>
                <w:color w:val="404040"/>
                <w:sz w:val="20"/>
              </w:rPr>
            </w:pPr>
          </w:p>
        </w:tc>
      </w:tr>
      <w:tr w:rsidR="00396941" w:rsidRPr="000E063D" w14:paraId="586BF0E4" w14:textId="77777777" w:rsidTr="00843061">
        <w:trPr>
          <w:cantSplit/>
          <w:trHeight w:val="260"/>
          <w:jc w:val="center"/>
        </w:trPr>
        <w:tc>
          <w:tcPr>
            <w:tcW w:w="827" w:type="dxa"/>
            <w:tcBorders>
              <w:bottom w:val="double" w:sz="4" w:space="0" w:color="auto"/>
            </w:tcBorders>
            <w:vAlign w:val="center"/>
          </w:tcPr>
          <w:p w14:paraId="76E60656" w14:textId="77777777" w:rsidR="00396941" w:rsidRPr="000E063D" w:rsidRDefault="00396941" w:rsidP="002D4995">
            <w:pPr>
              <w:spacing w:after="0"/>
              <w:jc w:val="center"/>
              <w:rPr>
                <w:rFonts w:ascii="Tw Cen MT" w:hAnsi="Tw Cen MT"/>
                <w:color w:val="404040"/>
                <w:sz w:val="20"/>
              </w:rPr>
            </w:pPr>
            <w:r w:rsidRPr="000E063D">
              <w:rPr>
                <w:rFonts w:ascii="Tw Cen MT" w:hAnsi="Tw Cen MT"/>
                <w:color w:val="404040"/>
                <w:sz w:val="20"/>
              </w:rPr>
              <w:t>8</w:t>
            </w:r>
          </w:p>
        </w:tc>
        <w:tc>
          <w:tcPr>
            <w:tcW w:w="1477" w:type="dxa"/>
            <w:tcBorders>
              <w:bottom w:val="double" w:sz="4" w:space="0" w:color="auto"/>
            </w:tcBorders>
            <w:shd w:val="clear" w:color="auto" w:fill="000000" w:themeFill="text1"/>
            <w:vAlign w:val="center"/>
          </w:tcPr>
          <w:p w14:paraId="718E11BE" w14:textId="77777777" w:rsidR="00396941" w:rsidRPr="000E063D" w:rsidRDefault="00396941" w:rsidP="002D4995">
            <w:pPr>
              <w:spacing w:after="0"/>
              <w:jc w:val="center"/>
              <w:rPr>
                <w:rFonts w:ascii="Tw Cen MT" w:hAnsi="Tw Cen MT"/>
                <w:color w:val="404040"/>
                <w:sz w:val="20"/>
              </w:rPr>
            </w:pPr>
          </w:p>
        </w:tc>
        <w:tc>
          <w:tcPr>
            <w:tcW w:w="1350" w:type="dxa"/>
            <w:tcBorders>
              <w:bottom w:val="double" w:sz="4" w:space="0" w:color="auto"/>
            </w:tcBorders>
            <w:shd w:val="clear" w:color="auto" w:fill="000000" w:themeFill="text1"/>
            <w:vAlign w:val="center"/>
          </w:tcPr>
          <w:p w14:paraId="724B93A4" w14:textId="77777777" w:rsidR="00396941" w:rsidRPr="000E063D" w:rsidRDefault="00396941" w:rsidP="002D4995">
            <w:pPr>
              <w:spacing w:after="0"/>
              <w:jc w:val="center"/>
              <w:rPr>
                <w:rFonts w:ascii="Tw Cen MT" w:hAnsi="Tw Cen MT"/>
                <w:color w:val="404040"/>
                <w:sz w:val="20"/>
              </w:rPr>
            </w:pPr>
          </w:p>
        </w:tc>
      </w:tr>
    </w:tbl>
    <w:p w14:paraId="735457E0" w14:textId="77777777" w:rsidR="00396941" w:rsidRPr="000E063D" w:rsidRDefault="00396941" w:rsidP="00396941">
      <w:pPr>
        <w:rPr>
          <w:rFonts w:ascii="Tw Cen MT" w:hAnsi="Tw Cen MT"/>
        </w:rPr>
      </w:pPr>
    </w:p>
    <w:p w14:paraId="77F8288F" w14:textId="77777777" w:rsidR="00650D88" w:rsidRDefault="00650D88" w:rsidP="00BF48FD">
      <w:pPr>
        <w:rPr>
          <w:rFonts w:ascii="Tw Cen MT" w:eastAsia="Calibri" w:hAnsi="Tw Cen MT" w:cs="Calibri"/>
          <w:b/>
          <w:bCs/>
          <w:sz w:val="28"/>
          <w:szCs w:val="28"/>
        </w:rPr>
      </w:pPr>
    </w:p>
    <w:p w14:paraId="4EFAEDF0" w14:textId="77777777" w:rsidR="00650D88" w:rsidRDefault="00650D88" w:rsidP="00BF48FD">
      <w:pPr>
        <w:rPr>
          <w:rFonts w:ascii="Tw Cen MT" w:eastAsia="Calibri" w:hAnsi="Tw Cen MT" w:cs="Calibri"/>
          <w:b/>
          <w:bCs/>
          <w:sz w:val="28"/>
          <w:szCs w:val="28"/>
        </w:rPr>
      </w:pPr>
    </w:p>
    <w:p w14:paraId="505FD0A3" w14:textId="77777777" w:rsidR="00650D88" w:rsidRDefault="00650D88" w:rsidP="00BF48FD">
      <w:pPr>
        <w:rPr>
          <w:rFonts w:ascii="Tw Cen MT" w:eastAsia="Calibri" w:hAnsi="Tw Cen MT" w:cs="Calibri"/>
          <w:b/>
          <w:bCs/>
          <w:sz w:val="28"/>
          <w:szCs w:val="28"/>
        </w:rPr>
      </w:pPr>
    </w:p>
    <w:p w14:paraId="0B8E7BFD" w14:textId="77777777" w:rsidR="00650D88" w:rsidRDefault="00650D88" w:rsidP="00BF48FD">
      <w:pPr>
        <w:rPr>
          <w:rFonts w:ascii="Tw Cen MT" w:eastAsia="Calibri" w:hAnsi="Tw Cen MT" w:cs="Calibri"/>
          <w:b/>
          <w:bCs/>
          <w:sz w:val="28"/>
          <w:szCs w:val="28"/>
        </w:rPr>
      </w:pPr>
    </w:p>
    <w:p w14:paraId="0A26905F" w14:textId="77777777" w:rsidR="00650D88" w:rsidRDefault="00650D88" w:rsidP="00BF48FD">
      <w:pPr>
        <w:rPr>
          <w:rFonts w:ascii="Tw Cen MT" w:eastAsia="Calibri" w:hAnsi="Tw Cen MT" w:cs="Calibri"/>
          <w:b/>
          <w:bCs/>
          <w:sz w:val="28"/>
          <w:szCs w:val="28"/>
        </w:rPr>
      </w:pPr>
    </w:p>
    <w:p w14:paraId="53F59F9E" w14:textId="5FC1E262" w:rsidR="00650D88" w:rsidRDefault="00650D88" w:rsidP="00BF48FD">
      <w:pPr>
        <w:rPr>
          <w:rFonts w:ascii="Tw Cen MT" w:eastAsia="Calibri" w:hAnsi="Tw Cen MT" w:cs="Calibri"/>
          <w:b/>
          <w:bCs/>
          <w:sz w:val="28"/>
          <w:szCs w:val="28"/>
        </w:rPr>
      </w:pPr>
    </w:p>
    <w:p w14:paraId="2C16A970" w14:textId="7C6EED60" w:rsidR="00893764" w:rsidRDefault="00893764" w:rsidP="00BF48FD">
      <w:pPr>
        <w:rPr>
          <w:rFonts w:ascii="Tw Cen MT" w:eastAsia="Calibri" w:hAnsi="Tw Cen MT" w:cs="Calibri"/>
          <w:b/>
          <w:bCs/>
          <w:sz w:val="28"/>
          <w:szCs w:val="28"/>
        </w:rPr>
      </w:pPr>
    </w:p>
    <w:p w14:paraId="469564D9" w14:textId="6C4AC51A" w:rsidR="00893764" w:rsidRDefault="00893764" w:rsidP="00BF48FD">
      <w:pPr>
        <w:rPr>
          <w:rFonts w:ascii="Tw Cen MT" w:eastAsia="Calibri" w:hAnsi="Tw Cen MT" w:cs="Calibri"/>
          <w:b/>
          <w:bCs/>
          <w:sz w:val="28"/>
          <w:szCs w:val="28"/>
        </w:rPr>
      </w:pPr>
    </w:p>
    <w:p w14:paraId="0B786258" w14:textId="77777777" w:rsidR="00893764" w:rsidRDefault="00893764" w:rsidP="00BF48FD">
      <w:pPr>
        <w:rPr>
          <w:rFonts w:ascii="Tw Cen MT" w:eastAsia="Calibri" w:hAnsi="Tw Cen MT" w:cs="Calibri"/>
          <w:b/>
          <w:bCs/>
          <w:sz w:val="28"/>
          <w:szCs w:val="28"/>
        </w:rPr>
      </w:pPr>
    </w:p>
    <w:p w14:paraId="759EC783" w14:textId="047D3F64" w:rsidR="00396941" w:rsidRPr="00250D03" w:rsidRDefault="00C34506" w:rsidP="00BF48FD">
      <w:pPr>
        <w:rPr>
          <w:rFonts w:ascii="Tw Cen MT" w:eastAsia="Calibri" w:hAnsi="Tw Cen MT" w:cs="Calibri"/>
          <w:b/>
          <w:bCs/>
          <w:sz w:val="28"/>
          <w:szCs w:val="28"/>
        </w:rPr>
      </w:pPr>
      <w:r w:rsidRPr="00250D03">
        <w:rPr>
          <w:rFonts w:ascii="Tw Cen MT" w:eastAsia="Calibri" w:hAnsi="Tw Cen MT" w:cs="Calibri"/>
          <w:b/>
          <w:bCs/>
          <w:sz w:val="28"/>
          <w:szCs w:val="28"/>
        </w:rPr>
        <w:lastRenderedPageBreak/>
        <w:t xml:space="preserve">DIBELS ASSESSMENT </w:t>
      </w:r>
    </w:p>
    <w:p w14:paraId="581F9C6E" w14:textId="384C661D" w:rsidR="00C34506" w:rsidRDefault="00C34506" w:rsidP="00BF48FD">
      <w:pPr>
        <w:rPr>
          <w:rFonts w:ascii="Tw Cen MT" w:eastAsia="Calibri" w:hAnsi="Tw Cen MT" w:cs="Calibri"/>
          <w:szCs w:val="23"/>
        </w:rPr>
      </w:pPr>
      <w:r>
        <w:rPr>
          <w:rFonts w:ascii="Tw Cen MT" w:eastAsia="Calibri" w:hAnsi="Tw Cen MT" w:cs="Calibri"/>
          <w:szCs w:val="23"/>
        </w:rPr>
        <w:t>As previously mentioned, the school also administered the DIBELS assessment for the first time in 2021-2022.  Our implementation was guided by two goals</w:t>
      </w:r>
      <w:r w:rsidR="00595E6D">
        <w:rPr>
          <w:rFonts w:ascii="Tw Cen MT" w:eastAsia="Calibri" w:hAnsi="Tw Cen MT" w:cs="Calibri"/>
          <w:szCs w:val="23"/>
        </w:rPr>
        <w:t>.  Goals and corresponding results are included below</w:t>
      </w:r>
      <w:r>
        <w:rPr>
          <w:rFonts w:ascii="Tw Cen MT" w:eastAsia="Calibri" w:hAnsi="Tw Cen MT" w:cs="Calibri"/>
          <w:szCs w:val="23"/>
        </w:rPr>
        <w:t xml:space="preserve">: </w:t>
      </w:r>
    </w:p>
    <w:p w14:paraId="25A11213" w14:textId="41B07262" w:rsidR="00BA4027" w:rsidRDefault="00BA4027" w:rsidP="00BA4027">
      <w:pPr>
        <w:pStyle w:val="ListParagraph"/>
        <w:numPr>
          <w:ilvl w:val="0"/>
          <w:numId w:val="26"/>
        </w:numPr>
        <w:rPr>
          <w:rFonts w:ascii="Tw Cen MT" w:hAnsi="Tw Cen MT"/>
        </w:rPr>
      </w:pPr>
      <w:r w:rsidRPr="00BA4027">
        <w:rPr>
          <w:rFonts w:ascii="Tw Cen MT" w:hAnsi="Tw Cen MT"/>
        </w:rPr>
        <w:t xml:space="preserve">By end of year, 50% of scholars at each grade level meet or exceed the benchmark target. </w:t>
      </w:r>
    </w:p>
    <w:tbl>
      <w:tblPr>
        <w:tblStyle w:val="TableGrid"/>
        <w:tblW w:w="0" w:type="auto"/>
        <w:jc w:val="center"/>
        <w:tblLook w:val="04A0" w:firstRow="1" w:lastRow="0" w:firstColumn="1" w:lastColumn="0" w:noHBand="0" w:noVBand="1"/>
      </w:tblPr>
      <w:tblGrid>
        <w:gridCol w:w="1042"/>
        <w:gridCol w:w="1042"/>
        <w:gridCol w:w="1042"/>
        <w:gridCol w:w="1042"/>
        <w:gridCol w:w="1043"/>
        <w:gridCol w:w="1043"/>
      </w:tblGrid>
      <w:tr w:rsidR="002704A7" w14:paraId="34EA7FE3" w14:textId="77777777" w:rsidTr="002704A7">
        <w:trPr>
          <w:jc w:val="center"/>
        </w:trPr>
        <w:tc>
          <w:tcPr>
            <w:tcW w:w="1042" w:type="dxa"/>
          </w:tcPr>
          <w:p w14:paraId="132A05F7" w14:textId="77777777" w:rsidR="002704A7" w:rsidRDefault="002704A7" w:rsidP="002704A7">
            <w:pPr>
              <w:rPr>
                <w:rFonts w:ascii="Tw Cen MT" w:hAnsi="Tw Cen MT"/>
              </w:rPr>
            </w:pPr>
            <w:r>
              <w:rPr>
                <w:rFonts w:ascii="Tw Cen MT" w:hAnsi="Tw Cen MT"/>
              </w:rPr>
              <w:t>K</w:t>
            </w:r>
          </w:p>
        </w:tc>
        <w:tc>
          <w:tcPr>
            <w:tcW w:w="1042" w:type="dxa"/>
          </w:tcPr>
          <w:p w14:paraId="4E33885B" w14:textId="77777777" w:rsidR="002704A7" w:rsidRDefault="002704A7" w:rsidP="002704A7">
            <w:pPr>
              <w:rPr>
                <w:rFonts w:ascii="Tw Cen MT" w:hAnsi="Tw Cen MT"/>
              </w:rPr>
            </w:pPr>
            <w:r>
              <w:rPr>
                <w:rFonts w:ascii="Tw Cen MT" w:hAnsi="Tw Cen MT"/>
              </w:rPr>
              <w:t>1</w:t>
            </w:r>
          </w:p>
        </w:tc>
        <w:tc>
          <w:tcPr>
            <w:tcW w:w="1042" w:type="dxa"/>
          </w:tcPr>
          <w:p w14:paraId="2A02EAAB" w14:textId="77777777" w:rsidR="002704A7" w:rsidRDefault="002704A7" w:rsidP="002704A7">
            <w:pPr>
              <w:rPr>
                <w:rFonts w:ascii="Tw Cen MT" w:hAnsi="Tw Cen MT"/>
              </w:rPr>
            </w:pPr>
            <w:r>
              <w:rPr>
                <w:rFonts w:ascii="Tw Cen MT" w:hAnsi="Tw Cen MT"/>
              </w:rPr>
              <w:t>2</w:t>
            </w:r>
          </w:p>
        </w:tc>
        <w:tc>
          <w:tcPr>
            <w:tcW w:w="1042" w:type="dxa"/>
          </w:tcPr>
          <w:p w14:paraId="4CF17345" w14:textId="77777777" w:rsidR="002704A7" w:rsidRDefault="002704A7" w:rsidP="002704A7">
            <w:pPr>
              <w:rPr>
                <w:rFonts w:ascii="Tw Cen MT" w:hAnsi="Tw Cen MT"/>
              </w:rPr>
            </w:pPr>
            <w:r>
              <w:rPr>
                <w:rFonts w:ascii="Tw Cen MT" w:hAnsi="Tw Cen MT"/>
              </w:rPr>
              <w:t>3</w:t>
            </w:r>
          </w:p>
        </w:tc>
        <w:tc>
          <w:tcPr>
            <w:tcW w:w="1043" w:type="dxa"/>
          </w:tcPr>
          <w:p w14:paraId="65DFED0A" w14:textId="77777777" w:rsidR="002704A7" w:rsidRDefault="002704A7" w:rsidP="002704A7">
            <w:pPr>
              <w:rPr>
                <w:rFonts w:ascii="Tw Cen MT" w:hAnsi="Tw Cen MT"/>
              </w:rPr>
            </w:pPr>
            <w:r>
              <w:rPr>
                <w:rFonts w:ascii="Tw Cen MT" w:hAnsi="Tw Cen MT"/>
              </w:rPr>
              <w:t>4</w:t>
            </w:r>
          </w:p>
        </w:tc>
        <w:tc>
          <w:tcPr>
            <w:tcW w:w="1043" w:type="dxa"/>
          </w:tcPr>
          <w:p w14:paraId="5A9583B4" w14:textId="77777777" w:rsidR="002704A7" w:rsidRDefault="002704A7" w:rsidP="002704A7">
            <w:pPr>
              <w:rPr>
                <w:rFonts w:ascii="Tw Cen MT" w:hAnsi="Tw Cen MT"/>
              </w:rPr>
            </w:pPr>
            <w:r>
              <w:rPr>
                <w:rFonts w:ascii="Tw Cen MT" w:hAnsi="Tw Cen MT"/>
              </w:rPr>
              <w:t xml:space="preserve">TOTAL </w:t>
            </w:r>
          </w:p>
        </w:tc>
      </w:tr>
      <w:tr w:rsidR="002704A7" w14:paraId="5525502C" w14:textId="77777777" w:rsidTr="002704A7">
        <w:trPr>
          <w:jc w:val="center"/>
        </w:trPr>
        <w:tc>
          <w:tcPr>
            <w:tcW w:w="1042" w:type="dxa"/>
          </w:tcPr>
          <w:p w14:paraId="2338E5BB" w14:textId="77777777" w:rsidR="002704A7" w:rsidRDefault="002704A7" w:rsidP="002704A7">
            <w:pPr>
              <w:rPr>
                <w:rFonts w:ascii="Tw Cen MT" w:hAnsi="Tw Cen MT"/>
              </w:rPr>
            </w:pPr>
            <w:r>
              <w:rPr>
                <w:rFonts w:ascii="Tw Cen MT" w:hAnsi="Tw Cen MT"/>
              </w:rPr>
              <w:t>49%</w:t>
            </w:r>
          </w:p>
        </w:tc>
        <w:tc>
          <w:tcPr>
            <w:tcW w:w="1042" w:type="dxa"/>
          </w:tcPr>
          <w:p w14:paraId="58D20E99" w14:textId="77777777" w:rsidR="002704A7" w:rsidRDefault="002704A7" w:rsidP="002704A7">
            <w:pPr>
              <w:rPr>
                <w:rFonts w:ascii="Tw Cen MT" w:hAnsi="Tw Cen MT"/>
              </w:rPr>
            </w:pPr>
            <w:r>
              <w:rPr>
                <w:rFonts w:ascii="Tw Cen MT" w:hAnsi="Tw Cen MT"/>
              </w:rPr>
              <w:t>40%</w:t>
            </w:r>
          </w:p>
        </w:tc>
        <w:tc>
          <w:tcPr>
            <w:tcW w:w="1042" w:type="dxa"/>
          </w:tcPr>
          <w:p w14:paraId="0D86F15B" w14:textId="77777777" w:rsidR="002704A7" w:rsidRDefault="002704A7" w:rsidP="002704A7">
            <w:pPr>
              <w:rPr>
                <w:rFonts w:ascii="Tw Cen MT" w:hAnsi="Tw Cen MT"/>
              </w:rPr>
            </w:pPr>
            <w:r>
              <w:rPr>
                <w:rFonts w:ascii="Tw Cen MT" w:hAnsi="Tw Cen MT"/>
              </w:rPr>
              <w:t>33%</w:t>
            </w:r>
          </w:p>
        </w:tc>
        <w:tc>
          <w:tcPr>
            <w:tcW w:w="1042" w:type="dxa"/>
          </w:tcPr>
          <w:p w14:paraId="0CE5E782" w14:textId="77777777" w:rsidR="002704A7" w:rsidRDefault="002704A7" w:rsidP="002704A7">
            <w:pPr>
              <w:rPr>
                <w:rFonts w:ascii="Tw Cen MT" w:hAnsi="Tw Cen MT"/>
              </w:rPr>
            </w:pPr>
            <w:r>
              <w:rPr>
                <w:rFonts w:ascii="Tw Cen MT" w:hAnsi="Tw Cen MT"/>
              </w:rPr>
              <w:t>29%</w:t>
            </w:r>
          </w:p>
        </w:tc>
        <w:tc>
          <w:tcPr>
            <w:tcW w:w="1043" w:type="dxa"/>
          </w:tcPr>
          <w:p w14:paraId="6AEF2996" w14:textId="77777777" w:rsidR="002704A7" w:rsidRDefault="002704A7" w:rsidP="002704A7">
            <w:pPr>
              <w:rPr>
                <w:rFonts w:ascii="Tw Cen MT" w:hAnsi="Tw Cen MT"/>
              </w:rPr>
            </w:pPr>
            <w:r>
              <w:rPr>
                <w:rFonts w:ascii="Tw Cen MT" w:hAnsi="Tw Cen MT"/>
              </w:rPr>
              <w:t>33%</w:t>
            </w:r>
          </w:p>
        </w:tc>
        <w:tc>
          <w:tcPr>
            <w:tcW w:w="1043" w:type="dxa"/>
          </w:tcPr>
          <w:p w14:paraId="741B44A4" w14:textId="77777777" w:rsidR="002704A7" w:rsidRDefault="002704A7" w:rsidP="002704A7">
            <w:pPr>
              <w:rPr>
                <w:rFonts w:ascii="Tw Cen MT" w:hAnsi="Tw Cen MT"/>
              </w:rPr>
            </w:pPr>
            <w:r>
              <w:rPr>
                <w:rFonts w:ascii="Tw Cen MT" w:hAnsi="Tw Cen MT"/>
              </w:rPr>
              <w:t>36% (97)</w:t>
            </w:r>
          </w:p>
        </w:tc>
      </w:tr>
    </w:tbl>
    <w:p w14:paraId="2920FED5" w14:textId="77777777" w:rsidR="002704A7" w:rsidRPr="002704A7" w:rsidRDefault="002704A7" w:rsidP="002704A7">
      <w:pPr>
        <w:rPr>
          <w:rFonts w:ascii="Tw Cen MT" w:hAnsi="Tw Cen MT"/>
        </w:rPr>
      </w:pPr>
    </w:p>
    <w:p w14:paraId="36D7D69E" w14:textId="0FEF604B" w:rsidR="00191838" w:rsidRDefault="00191838" w:rsidP="00191838">
      <w:pPr>
        <w:pStyle w:val="ListParagraph"/>
        <w:numPr>
          <w:ilvl w:val="0"/>
          <w:numId w:val="26"/>
        </w:numPr>
        <w:rPr>
          <w:rFonts w:ascii="Tw Cen MT" w:hAnsi="Tw Cen MT"/>
        </w:rPr>
      </w:pPr>
      <w:r w:rsidRPr="00191838">
        <w:rPr>
          <w:rFonts w:ascii="Tw Cen MT" w:hAnsi="Tw Cen MT"/>
        </w:rPr>
        <w:t>Of scholars who do not meet benchmark, at least 75% will make above average growth for their grade level</w:t>
      </w:r>
      <w:r w:rsidR="002704A7">
        <w:rPr>
          <w:rFonts w:ascii="Tw Cen MT" w:hAnsi="Tw Cen MT"/>
        </w:rPr>
        <w:t>.</w:t>
      </w:r>
    </w:p>
    <w:p w14:paraId="6D4DE660" w14:textId="284649E2" w:rsidR="002704A7" w:rsidRDefault="002704A7" w:rsidP="002704A7">
      <w:pPr>
        <w:pStyle w:val="ListParagraph"/>
        <w:rPr>
          <w:rFonts w:ascii="Tw Cen MT" w:hAnsi="Tw Cen MT"/>
        </w:rPr>
      </w:pPr>
    </w:p>
    <w:tbl>
      <w:tblPr>
        <w:tblStyle w:val="TableGrid"/>
        <w:tblW w:w="0" w:type="auto"/>
        <w:jc w:val="center"/>
        <w:tblLook w:val="04A0" w:firstRow="1" w:lastRow="0" w:firstColumn="1" w:lastColumn="0" w:noHBand="0" w:noVBand="1"/>
      </w:tblPr>
      <w:tblGrid>
        <w:gridCol w:w="1042"/>
        <w:gridCol w:w="1042"/>
        <w:gridCol w:w="1042"/>
        <w:gridCol w:w="1042"/>
        <w:gridCol w:w="1043"/>
        <w:gridCol w:w="1043"/>
      </w:tblGrid>
      <w:tr w:rsidR="00595E6D" w14:paraId="60F63886" w14:textId="77777777" w:rsidTr="00595E6D">
        <w:trPr>
          <w:jc w:val="center"/>
        </w:trPr>
        <w:tc>
          <w:tcPr>
            <w:tcW w:w="1042" w:type="dxa"/>
          </w:tcPr>
          <w:p w14:paraId="63764616" w14:textId="77777777" w:rsidR="00595E6D" w:rsidRDefault="00595E6D" w:rsidP="00595E6D">
            <w:pPr>
              <w:rPr>
                <w:rFonts w:ascii="Tw Cen MT" w:hAnsi="Tw Cen MT"/>
              </w:rPr>
            </w:pPr>
            <w:r>
              <w:rPr>
                <w:rFonts w:ascii="Tw Cen MT" w:hAnsi="Tw Cen MT"/>
              </w:rPr>
              <w:t>K</w:t>
            </w:r>
          </w:p>
        </w:tc>
        <w:tc>
          <w:tcPr>
            <w:tcW w:w="1042" w:type="dxa"/>
          </w:tcPr>
          <w:p w14:paraId="4B6B9448" w14:textId="77777777" w:rsidR="00595E6D" w:rsidRDefault="00595E6D" w:rsidP="00595E6D">
            <w:pPr>
              <w:rPr>
                <w:rFonts w:ascii="Tw Cen MT" w:hAnsi="Tw Cen MT"/>
              </w:rPr>
            </w:pPr>
            <w:r>
              <w:rPr>
                <w:rFonts w:ascii="Tw Cen MT" w:hAnsi="Tw Cen MT"/>
              </w:rPr>
              <w:t>1</w:t>
            </w:r>
          </w:p>
        </w:tc>
        <w:tc>
          <w:tcPr>
            <w:tcW w:w="1042" w:type="dxa"/>
          </w:tcPr>
          <w:p w14:paraId="79246346" w14:textId="77777777" w:rsidR="00595E6D" w:rsidRDefault="00595E6D" w:rsidP="00595E6D">
            <w:pPr>
              <w:rPr>
                <w:rFonts w:ascii="Tw Cen MT" w:hAnsi="Tw Cen MT"/>
              </w:rPr>
            </w:pPr>
            <w:r>
              <w:rPr>
                <w:rFonts w:ascii="Tw Cen MT" w:hAnsi="Tw Cen MT"/>
              </w:rPr>
              <w:t>2</w:t>
            </w:r>
          </w:p>
        </w:tc>
        <w:tc>
          <w:tcPr>
            <w:tcW w:w="1042" w:type="dxa"/>
          </w:tcPr>
          <w:p w14:paraId="04015B76" w14:textId="77777777" w:rsidR="00595E6D" w:rsidRDefault="00595E6D" w:rsidP="00595E6D">
            <w:pPr>
              <w:rPr>
                <w:rFonts w:ascii="Tw Cen MT" w:hAnsi="Tw Cen MT"/>
              </w:rPr>
            </w:pPr>
            <w:r>
              <w:rPr>
                <w:rFonts w:ascii="Tw Cen MT" w:hAnsi="Tw Cen MT"/>
              </w:rPr>
              <w:t>3</w:t>
            </w:r>
          </w:p>
        </w:tc>
        <w:tc>
          <w:tcPr>
            <w:tcW w:w="1043" w:type="dxa"/>
          </w:tcPr>
          <w:p w14:paraId="431E680D" w14:textId="77777777" w:rsidR="00595E6D" w:rsidRDefault="00595E6D" w:rsidP="00595E6D">
            <w:pPr>
              <w:rPr>
                <w:rFonts w:ascii="Tw Cen MT" w:hAnsi="Tw Cen MT"/>
              </w:rPr>
            </w:pPr>
            <w:r>
              <w:rPr>
                <w:rFonts w:ascii="Tw Cen MT" w:hAnsi="Tw Cen MT"/>
              </w:rPr>
              <w:t>4</w:t>
            </w:r>
          </w:p>
        </w:tc>
        <w:tc>
          <w:tcPr>
            <w:tcW w:w="1043" w:type="dxa"/>
          </w:tcPr>
          <w:p w14:paraId="008A9EAE" w14:textId="77777777" w:rsidR="00595E6D" w:rsidRDefault="00595E6D" w:rsidP="00595E6D">
            <w:pPr>
              <w:rPr>
                <w:rFonts w:ascii="Tw Cen MT" w:hAnsi="Tw Cen MT"/>
              </w:rPr>
            </w:pPr>
            <w:r>
              <w:rPr>
                <w:rFonts w:ascii="Tw Cen MT" w:hAnsi="Tw Cen MT"/>
              </w:rPr>
              <w:t xml:space="preserve">TOTAL </w:t>
            </w:r>
          </w:p>
        </w:tc>
      </w:tr>
      <w:tr w:rsidR="00595E6D" w14:paraId="66B6DE61" w14:textId="77777777" w:rsidTr="00595E6D">
        <w:trPr>
          <w:jc w:val="center"/>
        </w:trPr>
        <w:tc>
          <w:tcPr>
            <w:tcW w:w="1042" w:type="dxa"/>
          </w:tcPr>
          <w:p w14:paraId="60E3592D" w14:textId="77777777" w:rsidR="00595E6D" w:rsidRDefault="00595E6D" w:rsidP="00595E6D">
            <w:pPr>
              <w:rPr>
                <w:rFonts w:ascii="Tw Cen MT" w:hAnsi="Tw Cen MT"/>
              </w:rPr>
            </w:pPr>
            <w:r>
              <w:rPr>
                <w:rFonts w:ascii="Tw Cen MT" w:hAnsi="Tw Cen MT"/>
              </w:rPr>
              <w:t>30%</w:t>
            </w:r>
          </w:p>
        </w:tc>
        <w:tc>
          <w:tcPr>
            <w:tcW w:w="1042" w:type="dxa"/>
          </w:tcPr>
          <w:p w14:paraId="0CE0F941" w14:textId="77777777" w:rsidR="00595E6D" w:rsidRDefault="00595E6D" w:rsidP="00595E6D">
            <w:pPr>
              <w:rPr>
                <w:rFonts w:ascii="Tw Cen MT" w:hAnsi="Tw Cen MT"/>
              </w:rPr>
            </w:pPr>
            <w:r>
              <w:rPr>
                <w:rFonts w:ascii="Tw Cen MT" w:hAnsi="Tw Cen MT"/>
              </w:rPr>
              <w:t>61%</w:t>
            </w:r>
          </w:p>
        </w:tc>
        <w:tc>
          <w:tcPr>
            <w:tcW w:w="1042" w:type="dxa"/>
          </w:tcPr>
          <w:p w14:paraId="2DC6E74A" w14:textId="77777777" w:rsidR="00595E6D" w:rsidRDefault="00595E6D" w:rsidP="00595E6D">
            <w:pPr>
              <w:rPr>
                <w:rFonts w:ascii="Tw Cen MT" w:hAnsi="Tw Cen MT"/>
              </w:rPr>
            </w:pPr>
            <w:r>
              <w:rPr>
                <w:rFonts w:ascii="Tw Cen MT" w:hAnsi="Tw Cen MT"/>
              </w:rPr>
              <w:t>72%</w:t>
            </w:r>
          </w:p>
        </w:tc>
        <w:tc>
          <w:tcPr>
            <w:tcW w:w="1042" w:type="dxa"/>
          </w:tcPr>
          <w:p w14:paraId="42A3CFF5" w14:textId="77777777" w:rsidR="00595E6D" w:rsidRDefault="00595E6D" w:rsidP="00595E6D">
            <w:pPr>
              <w:rPr>
                <w:rFonts w:ascii="Tw Cen MT" w:hAnsi="Tw Cen MT"/>
              </w:rPr>
            </w:pPr>
            <w:r>
              <w:rPr>
                <w:rFonts w:ascii="Tw Cen MT" w:hAnsi="Tw Cen MT"/>
              </w:rPr>
              <w:t>70%</w:t>
            </w:r>
          </w:p>
        </w:tc>
        <w:tc>
          <w:tcPr>
            <w:tcW w:w="1043" w:type="dxa"/>
          </w:tcPr>
          <w:p w14:paraId="216DCE2F" w14:textId="77777777" w:rsidR="00595E6D" w:rsidRDefault="00595E6D" w:rsidP="00595E6D">
            <w:pPr>
              <w:rPr>
                <w:rFonts w:ascii="Tw Cen MT" w:hAnsi="Tw Cen MT"/>
              </w:rPr>
            </w:pPr>
            <w:r>
              <w:rPr>
                <w:rFonts w:ascii="Tw Cen MT" w:hAnsi="Tw Cen MT"/>
              </w:rPr>
              <w:t>64%</w:t>
            </w:r>
          </w:p>
        </w:tc>
        <w:tc>
          <w:tcPr>
            <w:tcW w:w="1043" w:type="dxa"/>
          </w:tcPr>
          <w:p w14:paraId="0C8BB54C" w14:textId="77777777" w:rsidR="00595E6D" w:rsidRDefault="00595E6D" w:rsidP="00595E6D">
            <w:pPr>
              <w:rPr>
                <w:rFonts w:ascii="Tw Cen MT" w:hAnsi="Tw Cen MT"/>
              </w:rPr>
            </w:pPr>
            <w:r>
              <w:rPr>
                <w:rFonts w:ascii="Tw Cen MT" w:hAnsi="Tw Cen MT"/>
              </w:rPr>
              <w:t>62%</w:t>
            </w:r>
          </w:p>
        </w:tc>
      </w:tr>
    </w:tbl>
    <w:p w14:paraId="2B8D36A6" w14:textId="77777777" w:rsidR="00595E6D" w:rsidRPr="00191838" w:rsidRDefault="00595E6D" w:rsidP="002704A7">
      <w:pPr>
        <w:pStyle w:val="ListParagraph"/>
        <w:rPr>
          <w:rFonts w:ascii="Tw Cen MT" w:hAnsi="Tw Cen MT"/>
        </w:rPr>
      </w:pPr>
    </w:p>
    <w:p w14:paraId="38C66DDA" w14:textId="73EF06D6" w:rsidR="00C34506" w:rsidRPr="00191838" w:rsidRDefault="00595E6D" w:rsidP="00191838">
      <w:pPr>
        <w:ind w:left="360"/>
        <w:rPr>
          <w:rFonts w:ascii="Tw Cen MT" w:eastAsia="Calibri" w:hAnsi="Tw Cen MT" w:cs="Calibri"/>
          <w:szCs w:val="23"/>
        </w:rPr>
      </w:pPr>
      <w:r>
        <w:rPr>
          <w:rFonts w:ascii="Tw Cen MT" w:eastAsia="Calibri" w:hAnsi="Tw Cen MT" w:cs="Calibri"/>
          <w:szCs w:val="23"/>
        </w:rPr>
        <w:t xml:space="preserve">While we did not meet either goal across grade levels, we did see significant growth </w:t>
      </w:r>
      <w:r w:rsidR="00BC31FD">
        <w:rPr>
          <w:rFonts w:ascii="Tw Cen MT" w:eastAsia="Calibri" w:hAnsi="Tw Cen MT" w:cs="Calibri"/>
          <w:szCs w:val="23"/>
        </w:rPr>
        <w:t xml:space="preserve">in scholars over the course of the year.  As this was our first year of implementation, we did not have any comparative results, but will use last year’s data to guide our instruction and decision making in the year ahead.  </w:t>
      </w:r>
    </w:p>
    <w:p w14:paraId="05CECA98" w14:textId="5312CD0B" w:rsidR="001D544B" w:rsidRPr="000E063D" w:rsidRDefault="001D544B" w:rsidP="001D544B">
      <w:pPr>
        <w:rPr>
          <w:rFonts w:ascii="Tw Cen MT" w:hAnsi="Tw Cen MT"/>
        </w:rPr>
      </w:pPr>
    </w:p>
    <w:p w14:paraId="693ED679" w14:textId="77777777" w:rsidR="001D544B" w:rsidRPr="000E063D" w:rsidRDefault="001D544B" w:rsidP="001D544B">
      <w:pPr>
        <w:pStyle w:val="Heading2"/>
        <w:rPr>
          <w:rFonts w:ascii="Tw Cen MT" w:hAnsi="Tw Cen MT"/>
        </w:rPr>
      </w:pPr>
      <w:r w:rsidRPr="000E063D">
        <w:rPr>
          <w:rFonts w:ascii="Tw Cen MT" w:hAnsi="Tw Cen MT"/>
        </w:rPr>
        <w:t>Summary of the English Language Arts Goal</w:t>
      </w:r>
    </w:p>
    <w:p w14:paraId="2AB6D512" w14:textId="398E79CB" w:rsidR="001D544B" w:rsidRPr="000E063D" w:rsidRDefault="00D41BC2" w:rsidP="009B2560">
      <w:pPr>
        <w:jc w:val="both"/>
        <w:rPr>
          <w:rFonts w:ascii="Tw Cen MT" w:hAnsi="Tw Cen MT"/>
        </w:rPr>
      </w:pPr>
      <w:r>
        <w:rPr>
          <w:rFonts w:ascii="Tw Cen MT" w:hAnsi="Tw Cen MT"/>
        </w:rPr>
        <w:t xml:space="preserve">Persistence Prep recognizes that we have significant work to do in increasing ELA proficiency as measured by the </w:t>
      </w:r>
      <w:r w:rsidR="00301020">
        <w:rPr>
          <w:rFonts w:ascii="Tw Cen MT" w:hAnsi="Tw Cen MT"/>
        </w:rPr>
        <w:t xml:space="preserve">NYS ELA State Assessment, especially in writing.  Over our first four years of operation, we have made significant shifts in our ELA program and curricular </w:t>
      </w:r>
      <w:r w:rsidR="00965C69">
        <w:rPr>
          <w:rFonts w:ascii="Tw Cen MT" w:hAnsi="Tw Cen MT"/>
        </w:rPr>
        <w:t xml:space="preserve">materials that are positively impacting scholars beginning in Kindergarten.  We anticipate a much stronger pipeline of scholars matriculating through our school in future </w:t>
      </w:r>
      <w:r w:rsidR="00B94A3D">
        <w:rPr>
          <w:rFonts w:ascii="Tw Cen MT" w:hAnsi="Tw Cen MT"/>
        </w:rPr>
        <w:t>years and</w:t>
      </w:r>
      <w:r w:rsidR="00965C69">
        <w:rPr>
          <w:rFonts w:ascii="Tw Cen MT" w:hAnsi="Tw Cen MT"/>
        </w:rPr>
        <w:t xml:space="preserve"> are using these high-quality instructional materials to close gaps for our scholars in upper grades.  </w:t>
      </w:r>
      <w:r w:rsidR="00A445CC">
        <w:rPr>
          <w:rFonts w:ascii="Tw Cen MT" w:hAnsi="Tw Cen MT"/>
        </w:rPr>
        <w:t xml:space="preserve">We will continue to leverage our </w:t>
      </w:r>
      <w:r w:rsidR="00601AC7">
        <w:rPr>
          <w:rFonts w:ascii="Tw Cen MT" w:hAnsi="Tw Cen MT"/>
        </w:rPr>
        <w:t xml:space="preserve">acceleration block to close gaps and ensure scholars have the just-in-time supports to access grade level content.  We also anticipate </w:t>
      </w:r>
      <w:r w:rsidR="009B2560">
        <w:rPr>
          <w:rFonts w:ascii="Tw Cen MT" w:hAnsi="Tw Cen MT"/>
        </w:rPr>
        <w:t xml:space="preserve">that our implementation of the Close Reading curriculum in grades 3-5 will have a significant impact on ELA proficiency.  More information on our planned actions </w:t>
      </w:r>
      <w:r w:rsidR="00A319FE">
        <w:rPr>
          <w:rFonts w:ascii="Tw Cen MT" w:hAnsi="Tw Cen MT"/>
        </w:rPr>
        <w:t>is</w:t>
      </w:r>
      <w:r w:rsidR="009B2560">
        <w:rPr>
          <w:rFonts w:ascii="Tw Cen MT" w:hAnsi="Tw Cen MT"/>
        </w:rPr>
        <w:t xml:space="preserve"> included in the Action Plan section below.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1D544B" w:rsidRPr="000E063D" w14:paraId="30754C8F" w14:textId="77777777" w:rsidTr="0077425A">
        <w:trPr>
          <w:jc w:val="center"/>
        </w:trPr>
        <w:tc>
          <w:tcPr>
            <w:tcW w:w="1341" w:type="dxa"/>
            <w:shd w:val="clear" w:color="auto" w:fill="auto"/>
            <w:vAlign w:val="center"/>
          </w:tcPr>
          <w:p w14:paraId="4318E9B5" w14:textId="77777777" w:rsidR="001D544B" w:rsidRPr="000E063D" w:rsidRDefault="001D544B" w:rsidP="0077425A">
            <w:pPr>
              <w:jc w:val="center"/>
              <w:rPr>
                <w:rFonts w:ascii="Tw Cen MT" w:hAnsi="Tw Cen MT"/>
                <w:b/>
                <w:color w:val="000000"/>
                <w:szCs w:val="23"/>
              </w:rPr>
            </w:pPr>
            <w:r w:rsidRPr="000E063D">
              <w:rPr>
                <w:rFonts w:ascii="Tw Cen MT" w:hAnsi="Tw Cen MT"/>
                <w:b/>
                <w:color w:val="000000"/>
                <w:szCs w:val="23"/>
              </w:rPr>
              <w:t>Type</w:t>
            </w:r>
          </w:p>
        </w:tc>
        <w:tc>
          <w:tcPr>
            <w:tcW w:w="6390" w:type="dxa"/>
            <w:shd w:val="clear" w:color="auto" w:fill="auto"/>
            <w:vAlign w:val="center"/>
          </w:tcPr>
          <w:p w14:paraId="2DCA9A40" w14:textId="77777777" w:rsidR="001D544B" w:rsidRPr="000E063D" w:rsidRDefault="001D544B" w:rsidP="0077425A">
            <w:pPr>
              <w:jc w:val="center"/>
              <w:rPr>
                <w:rFonts w:ascii="Tw Cen MT" w:hAnsi="Tw Cen MT"/>
                <w:b/>
                <w:color w:val="000000"/>
                <w:szCs w:val="23"/>
              </w:rPr>
            </w:pPr>
            <w:r w:rsidRPr="000E063D">
              <w:rPr>
                <w:rFonts w:ascii="Tw Cen MT" w:hAnsi="Tw Cen MT"/>
                <w:b/>
                <w:color w:val="000000"/>
                <w:szCs w:val="23"/>
              </w:rPr>
              <w:t>Measure</w:t>
            </w:r>
          </w:p>
        </w:tc>
        <w:tc>
          <w:tcPr>
            <w:tcW w:w="1611" w:type="dxa"/>
            <w:vAlign w:val="center"/>
          </w:tcPr>
          <w:p w14:paraId="508C4664" w14:textId="77777777" w:rsidR="001D544B" w:rsidRPr="000E063D" w:rsidRDefault="001D544B" w:rsidP="0077425A">
            <w:pPr>
              <w:jc w:val="center"/>
              <w:rPr>
                <w:rFonts w:ascii="Tw Cen MT" w:hAnsi="Tw Cen MT"/>
                <w:b/>
                <w:color w:val="000000"/>
                <w:szCs w:val="23"/>
              </w:rPr>
            </w:pPr>
            <w:r w:rsidRPr="000E063D">
              <w:rPr>
                <w:rFonts w:ascii="Tw Cen MT" w:hAnsi="Tw Cen MT"/>
                <w:b/>
                <w:color w:val="000000"/>
                <w:szCs w:val="23"/>
              </w:rPr>
              <w:t>Outcome</w:t>
            </w:r>
          </w:p>
        </w:tc>
      </w:tr>
      <w:tr w:rsidR="001D544B" w:rsidRPr="000E063D" w14:paraId="67BC7C21" w14:textId="77777777" w:rsidTr="0077425A">
        <w:trPr>
          <w:jc w:val="center"/>
        </w:trPr>
        <w:tc>
          <w:tcPr>
            <w:tcW w:w="1341" w:type="dxa"/>
            <w:shd w:val="clear" w:color="auto" w:fill="auto"/>
            <w:vAlign w:val="center"/>
          </w:tcPr>
          <w:p w14:paraId="1F06E8D0" w14:textId="77777777" w:rsidR="001D544B" w:rsidRPr="000E063D" w:rsidRDefault="001D544B" w:rsidP="0077425A">
            <w:pPr>
              <w:pStyle w:val="TableText"/>
              <w:rPr>
                <w:rFonts w:ascii="Tw Cen MT" w:hAnsi="Tw Cen MT"/>
              </w:rPr>
            </w:pPr>
            <w:r w:rsidRPr="000E063D">
              <w:rPr>
                <w:rFonts w:ascii="Tw Cen MT" w:hAnsi="Tw Cen MT"/>
              </w:rPr>
              <w:t>Absolute</w:t>
            </w:r>
          </w:p>
        </w:tc>
        <w:tc>
          <w:tcPr>
            <w:tcW w:w="6390" w:type="dxa"/>
            <w:shd w:val="clear" w:color="auto" w:fill="auto"/>
            <w:vAlign w:val="center"/>
          </w:tcPr>
          <w:p w14:paraId="671E2563" w14:textId="77777777" w:rsidR="001D544B" w:rsidRPr="000E063D" w:rsidRDefault="001D544B" w:rsidP="0077425A">
            <w:pPr>
              <w:pStyle w:val="TableText"/>
              <w:jc w:val="left"/>
              <w:rPr>
                <w:rFonts w:ascii="Tw Cen MT" w:hAnsi="Tw Cen MT"/>
              </w:rPr>
            </w:pPr>
            <w:r w:rsidRPr="000E063D">
              <w:rPr>
                <w:rFonts w:ascii="Tw Cen MT" w:hAnsi="Tw Cen MT"/>
              </w:rPr>
              <w:t xml:space="preserve">Each year, 75 percent of all tested students who are enrolled in at least their second year will perform at proficiency on the New York State English language arts exam for grades 3-8. </w:t>
            </w:r>
          </w:p>
        </w:tc>
        <w:tc>
          <w:tcPr>
            <w:tcW w:w="1611" w:type="dxa"/>
            <w:vAlign w:val="center"/>
          </w:tcPr>
          <w:p w14:paraId="0A8D3F27" w14:textId="65C1E246" w:rsidR="001D544B" w:rsidRPr="000E063D" w:rsidRDefault="00A601E0" w:rsidP="0077425A">
            <w:pPr>
              <w:pStyle w:val="TableText"/>
              <w:rPr>
                <w:rFonts w:ascii="Tw Cen MT" w:hAnsi="Tw Cen MT"/>
              </w:rPr>
            </w:pPr>
            <w:r>
              <w:rPr>
                <w:rFonts w:ascii="Tw Cen MT" w:hAnsi="Tw Cen MT"/>
              </w:rPr>
              <w:t xml:space="preserve">Not met- 8% of scholars </w:t>
            </w:r>
            <w:proofErr w:type="gramStart"/>
            <w:r>
              <w:rPr>
                <w:rFonts w:ascii="Tw Cen MT" w:hAnsi="Tw Cen MT"/>
              </w:rPr>
              <w:t>were</w:t>
            </w:r>
            <w:proofErr w:type="gramEnd"/>
            <w:r>
              <w:rPr>
                <w:rFonts w:ascii="Tw Cen MT" w:hAnsi="Tw Cen MT"/>
              </w:rPr>
              <w:t xml:space="preserve"> proficient in grades 3-4</w:t>
            </w:r>
          </w:p>
        </w:tc>
      </w:tr>
      <w:tr w:rsidR="001D544B" w:rsidRPr="000E063D" w14:paraId="69E674D2" w14:textId="77777777" w:rsidTr="0077425A">
        <w:trPr>
          <w:jc w:val="center"/>
        </w:trPr>
        <w:tc>
          <w:tcPr>
            <w:tcW w:w="1341" w:type="dxa"/>
            <w:shd w:val="clear" w:color="auto" w:fill="auto"/>
            <w:vAlign w:val="center"/>
          </w:tcPr>
          <w:p w14:paraId="44F2EA56" w14:textId="77777777" w:rsidR="001D544B" w:rsidRPr="000E063D" w:rsidRDefault="001D544B" w:rsidP="0077425A">
            <w:pPr>
              <w:pStyle w:val="TableText"/>
              <w:rPr>
                <w:rFonts w:ascii="Tw Cen MT" w:hAnsi="Tw Cen MT"/>
              </w:rPr>
            </w:pPr>
            <w:r w:rsidRPr="000E063D">
              <w:rPr>
                <w:rFonts w:ascii="Tw Cen MT" w:hAnsi="Tw Cen MT"/>
              </w:rPr>
              <w:t>Absolute</w:t>
            </w:r>
          </w:p>
        </w:tc>
        <w:tc>
          <w:tcPr>
            <w:tcW w:w="6390" w:type="dxa"/>
            <w:shd w:val="clear" w:color="auto" w:fill="auto"/>
            <w:vAlign w:val="center"/>
          </w:tcPr>
          <w:p w14:paraId="3614B1BF" w14:textId="77777777" w:rsidR="001D544B" w:rsidRPr="000E063D" w:rsidRDefault="001D544B" w:rsidP="0077425A">
            <w:pPr>
              <w:pStyle w:val="TableText"/>
              <w:jc w:val="left"/>
              <w:rPr>
                <w:rFonts w:ascii="Tw Cen MT" w:hAnsi="Tw Cen MT"/>
              </w:rPr>
            </w:pPr>
            <w:r w:rsidRPr="000E063D">
              <w:rPr>
                <w:rFonts w:ascii="Tw Cen MT" w:hAnsi="Tw Cen MT"/>
              </w:rPr>
              <w:t>Each year, the school’s aggregate PI on the state’s English language arts exam will meet that year’s state MIP as set forth in the state’s ESSA accountability system.</w:t>
            </w:r>
          </w:p>
        </w:tc>
        <w:tc>
          <w:tcPr>
            <w:tcW w:w="1611" w:type="dxa"/>
            <w:vAlign w:val="center"/>
          </w:tcPr>
          <w:p w14:paraId="52F3B152" w14:textId="46EFF5BB" w:rsidR="001D544B" w:rsidRPr="000E063D" w:rsidRDefault="00FD3351" w:rsidP="0077425A">
            <w:pPr>
              <w:pStyle w:val="TableText"/>
              <w:rPr>
                <w:rFonts w:ascii="Tw Cen MT" w:hAnsi="Tw Cen MT"/>
              </w:rPr>
            </w:pPr>
            <w:r w:rsidRPr="000E063D">
              <w:rPr>
                <w:rFonts w:ascii="Tw Cen MT" w:hAnsi="Tw Cen MT"/>
              </w:rPr>
              <w:t>N/A</w:t>
            </w:r>
          </w:p>
        </w:tc>
      </w:tr>
      <w:tr w:rsidR="001D544B" w:rsidRPr="000E063D" w14:paraId="3C9625CE" w14:textId="77777777" w:rsidTr="0077425A">
        <w:trPr>
          <w:jc w:val="center"/>
        </w:trPr>
        <w:tc>
          <w:tcPr>
            <w:tcW w:w="1341" w:type="dxa"/>
            <w:shd w:val="clear" w:color="auto" w:fill="auto"/>
            <w:vAlign w:val="center"/>
          </w:tcPr>
          <w:p w14:paraId="491C9AEB" w14:textId="77777777" w:rsidR="001D544B" w:rsidRPr="000E063D" w:rsidRDefault="001D544B" w:rsidP="0077425A">
            <w:pPr>
              <w:pStyle w:val="TableText"/>
              <w:rPr>
                <w:rFonts w:ascii="Tw Cen MT" w:hAnsi="Tw Cen MT"/>
              </w:rPr>
            </w:pPr>
            <w:r w:rsidRPr="000E063D">
              <w:rPr>
                <w:rFonts w:ascii="Tw Cen MT" w:hAnsi="Tw Cen MT"/>
              </w:rPr>
              <w:t>Comparative</w:t>
            </w:r>
          </w:p>
        </w:tc>
        <w:tc>
          <w:tcPr>
            <w:tcW w:w="6390" w:type="dxa"/>
            <w:shd w:val="clear" w:color="auto" w:fill="auto"/>
            <w:vAlign w:val="center"/>
          </w:tcPr>
          <w:p w14:paraId="69700229" w14:textId="77777777" w:rsidR="001D544B" w:rsidRPr="000E063D" w:rsidRDefault="001D544B" w:rsidP="0077425A">
            <w:pPr>
              <w:pStyle w:val="TableText"/>
              <w:jc w:val="left"/>
              <w:rPr>
                <w:rFonts w:ascii="Tw Cen MT" w:hAnsi="Tw Cen MT"/>
              </w:rPr>
            </w:pPr>
            <w:r w:rsidRPr="000E063D">
              <w:rPr>
                <w:rFonts w:ascii="Tw Cen MT" w:hAnsi="Tw Cen MT"/>
              </w:rPr>
              <w:t>Each year, the percent of all tested students</w:t>
            </w:r>
            <w:r w:rsidRPr="000E063D">
              <w:rPr>
                <w:rFonts w:ascii="Tw Cen MT" w:hAnsi="Tw Cen MT"/>
                <w:b/>
              </w:rPr>
              <w:t xml:space="preserve"> </w:t>
            </w:r>
            <w:r w:rsidRPr="000E063D">
              <w:rPr>
                <w:rFonts w:ascii="Tw Cen MT" w:hAnsi="Tw Cen MT"/>
              </w:rPr>
              <w:t xml:space="preserve">who are enrolled in at least their second year and performing at proficiency on the state English language arts exam will be greater than that of students in the same tested grades in the school district of comparison. </w:t>
            </w:r>
          </w:p>
        </w:tc>
        <w:tc>
          <w:tcPr>
            <w:tcW w:w="1611" w:type="dxa"/>
            <w:vAlign w:val="center"/>
          </w:tcPr>
          <w:p w14:paraId="090FC21A" w14:textId="0867D2F1" w:rsidR="001D544B" w:rsidRPr="000E063D" w:rsidRDefault="001677DD" w:rsidP="0077425A">
            <w:pPr>
              <w:pStyle w:val="TableText"/>
              <w:rPr>
                <w:rFonts w:ascii="Tw Cen MT" w:hAnsi="Tw Cen MT"/>
              </w:rPr>
            </w:pPr>
            <w:r>
              <w:rPr>
                <w:rFonts w:ascii="Tw Cen MT" w:hAnsi="Tw Cen MT"/>
              </w:rPr>
              <w:t xml:space="preserve">Data not available at time of report </w:t>
            </w:r>
          </w:p>
        </w:tc>
      </w:tr>
      <w:tr w:rsidR="001D544B" w:rsidRPr="000E063D" w14:paraId="724AB65B" w14:textId="77777777" w:rsidTr="0077425A">
        <w:trPr>
          <w:jc w:val="center"/>
        </w:trPr>
        <w:tc>
          <w:tcPr>
            <w:tcW w:w="1341" w:type="dxa"/>
            <w:shd w:val="clear" w:color="auto" w:fill="auto"/>
            <w:vAlign w:val="center"/>
          </w:tcPr>
          <w:p w14:paraId="673518D0" w14:textId="77777777" w:rsidR="001D544B" w:rsidRPr="000E063D" w:rsidRDefault="001D544B" w:rsidP="0077425A">
            <w:pPr>
              <w:pStyle w:val="TableText"/>
              <w:rPr>
                <w:rFonts w:ascii="Tw Cen MT" w:hAnsi="Tw Cen MT"/>
              </w:rPr>
            </w:pPr>
            <w:r w:rsidRPr="000E063D">
              <w:rPr>
                <w:rFonts w:ascii="Tw Cen MT" w:hAnsi="Tw Cen MT"/>
              </w:rPr>
              <w:t>Comparative</w:t>
            </w:r>
          </w:p>
        </w:tc>
        <w:tc>
          <w:tcPr>
            <w:tcW w:w="6390" w:type="dxa"/>
            <w:shd w:val="clear" w:color="auto" w:fill="auto"/>
            <w:vAlign w:val="center"/>
          </w:tcPr>
          <w:p w14:paraId="7B05E09D" w14:textId="38EECC80" w:rsidR="001D544B" w:rsidRPr="000E063D" w:rsidRDefault="001D544B" w:rsidP="0077425A">
            <w:pPr>
              <w:pStyle w:val="TableText"/>
              <w:jc w:val="left"/>
              <w:rPr>
                <w:rFonts w:ascii="Tw Cen MT" w:hAnsi="Tw Cen MT"/>
              </w:rPr>
            </w:pPr>
            <w:r w:rsidRPr="000E063D">
              <w:rPr>
                <w:rFonts w:ascii="Tw Cen MT" w:hAnsi="Tw Cen MT"/>
              </w:rPr>
              <w:t xml:space="preserve">Each year, the school will exceed its predicted level of performance on the state English language arts exam by an effect size of 0.3 or above </w:t>
            </w:r>
            <w:r w:rsidRPr="000E063D">
              <w:rPr>
                <w:rFonts w:ascii="Tw Cen MT" w:hAnsi="Tw Cen MT"/>
              </w:rPr>
              <w:lastRenderedPageBreak/>
              <w:t xml:space="preserve">(performing higher than expected to a meaningful degree) according to a regression analysis controlling for economically disadvantaged students among all public schools in New York State. </w:t>
            </w:r>
          </w:p>
        </w:tc>
        <w:tc>
          <w:tcPr>
            <w:tcW w:w="1611" w:type="dxa"/>
            <w:vAlign w:val="center"/>
          </w:tcPr>
          <w:p w14:paraId="2B86ED4F" w14:textId="7C5BA2D1" w:rsidR="001D544B" w:rsidRPr="000E063D" w:rsidRDefault="00FD3351" w:rsidP="0077425A">
            <w:pPr>
              <w:pStyle w:val="TableText"/>
              <w:rPr>
                <w:rFonts w:ascii="Tw Cen MT" w:hAnsi="Tw Cen MT"/>
              </w:rPr>
            </w:pPr>
            <w:r w:rsidRPr="000E063D">
              <w:rPr>
                <w:rFonts w:ascii="Tw Cen MT" w:hAnsi="Tw Cen MT"/>
              </w:rPr>
              <w:lastRenderedPageBreak/>
              <w:t>N/A</w:t>
            </w:r>
          </w:p>
        </w:tc>
      </w:tr>
      <w:tr w:rsidR="001D544B" w:rsidRPr="000E063D" w14:paraId="286ED3AF" w14:textId="77777777" w:rsidTr="0077425A">
        <w:trPr>
          <w:jc w:val="center"/>
        </w:trPr>
        <w:tc>
          <w:tcPr>
            <w:tcW w:w="1341" w:type="dxa"/>
            <w:shd w:val="clear" w:color="auto" w:fill="auto"/>
            <w:vAlign w:val="center"/>
          </w:tcPr>
          <w:p w14:paraId="3742A5EA" w14:textId="77777777" w:rsidR="001D544B" w:rsidRPr="000E063D" w:rsidRDefault="001D544B" w:rsidP="0077425A">
            <w:pPr>
              <w:pStyle w:val="TableText"/>
              <w:rPr>
                <w:rFonts w:ascii="Tw Cen MT" w:hAnsi="Tw Cen MT"/>
              </w:rPr>
            </w:pPr>
            <w:r w:rsidRPr="000E063D">
              <w:rPr>
                <w:rFonts w:ascii="Tw Cen MT" w:hAnsi="Tw Cen MT"/>
              </w:rPr>
              <w:t>Growth</w:t>
            </w:r>
          </w:p>
        </w:tc>
        <w:tc>
          <w:tcPr>
            <w:tcW w:w="6390" w:type="dxa"/>
            <w:shd w:val="clear" w:color="auto" w:fill="auto"/>
            <w:vAlign w:val="center"/>
          </w:tcPr>
          <w:p w14:paraId="12E3C85E" w14:textId="1C9620F9" w:rsidR="001D544B" w:rsidRPr="000E063D" w:rsidRDefault="001D544B" w:rsidP="0077425A">
            <w:pPr>
              <w:pStyle w:val="TableText"/>
              <w:jc w:val="left"/>
              <w:rPr>
                <w:rFonts w:ascii="Tw Cen MT" w:hAnsi="Tw Cen MT"/>
                <w:color w:val="auto"/>
              </w:rPr>
            </w:pPr>
            <w:r w:rsidRPr="000E063D">
              <w:rPr>
                <w:rFonts w:ascii="Tw Cen MT" w:hAnsi="Tw Cen MT"/>
              </w:rPr>
              <w:t xml:space="preserve">Each year, under the state’s Growth Model the school’s mean unadjusted growth percentile in English language arts for all tested students in grades 4-8 will be above the target of 50. </w:t>
            </w:r>
          </w:p>
        </w:tc>
        <w:tc>
          <w:tcPr>
            <w:tcW w:w="1611" w:type="dxa"/>
            <w:vAlign w:val="center"/>
          </w:tcPr>
          <w:p w14:paraId="478A8721" w14:textId="53FFF5E9" w:rsidR="001D544B" w:rsidRPr="000E063D" w:rsidRDefault="00D01B3B" w:rsidP="0077425A">
            <w:pPr>
              <w:pStyle w:val="TableText"/>
              <w:rPr>
                <w:rFonts w:ascii="Tw Cen MT" w:hAnsi="Tw Cen MT"/>
              </w:rPr>
            </w:pPr>
            <w:r w:rsidRPr="000E063D">
              <w:rPr>
                <w:rFonts w:ascii="Tw Cen MT" w:hAnsi="Tw Cen MT"/>
              </w:rPr>
              <w:t>N/A</w:t>
            </w:r>
          </w:p>
        </w:tc>
      </w:tr>
    </w:tbl>
    <w:p w14:paraId="67D78E4C" w14:textId="77777777" w:rsidR="001D544B" w:rsidRPr="000E063D" w:rsidRDefault="001D544B" w:rsidP="001D544B">
      <w:pPr>
        <w:pStyle w:val="Heading2"/>
        <w:rPr>
          <w:rFonts w:ascii="Tw Cen MT" w:hAnsi="Tw Cen MT"/>
        </w:rPr>
      </w:pPr>
      <w:r w:rsidRPr="000E063D">
        <w:rPr>
          <w:rFonts w:ascii="Tw Cen MT" w:hAnsi="Tw Cen MT"/>
        </w:rPr>
        <w:t>Action Plan</w:t>
      </w:r>
    </w:p>
    <w:p w14:paraId="2B687D37" w14:textId="5723B1BE" w:rsidR="003B35CE" w:rsidRDefault="003B35CE" w:rsidP="00BF48FD">
      <w:pPr>
        <w:rPr>
          <w:rFonts w:ascii="Tw Cen MT" w:hAnsi="Tw Cen MT"/>
        </w:rPr>
      </w:pPr>
    </w:p>
    <w:p w14:paraId="054F1EDE" w14:textId="0B44B0C5" w:rsidR="00675F09" w:rsidRDefault="003B35CE" w:rsidP="003B35CE">
      <w:pPr>
        <w:jc w:val="both"/>
        <w:rPr>
          <w:rFonts w:ascii="Tw Cen MT" w:hAnsi="Tw Cen MT"/>
        </w:rPr>
      </w:pPr>
      <w:r>
        <w:rPr>
          <w:rFonts w:ascii="Tw Cen MT" w:hAnsi="Tw Cen MT"/>
        </w:rPr>
        <w:t xml:space="preserve">Based on the strong growth we are observing on the NWEA MAP assessment, we believe that our instructional practices are closing demonstrated scholar gaps and moving scholars closer to proficiency.  We recognize that recovery from unfinished learning from COVID-19 will be a multi-year process and anticipate being able to sustain strong levels of academic growth in the years ahead. </w:t>
      </w:r>
      <w:r w:rsidR="009B2560">
        <w:rPr>
          <w:rFonts w:ascii="Tw Cen MT" w:hAnsi="Tw Cen MT"/>
        </w:rPr>
        <w:t xml:space="preserve"> We</w:t>
      </w:r>
      <w:r w:rsidR="003C1278">
        <w:rPr>
          <w:rFonts w:ascii="Tw Cen MT" w:hAnsi="Tw Cen MT"/>
        </w:rPr>
        <w:t xml:space="preserve"> continue to implement the DIBELS assessment three times per year, as well as the progress monitoring between rounds, to measure the impact of our ELA instruction and interventions. We have also developed standards-aligned interim assessments that mirror the structure of the state assessment </w:t>
      </w:r>
      <w:r w:rsidR="000410E7">
        <w:rPr>
          <w:rFonts w:ascii="Tw Cen MT" w:hAnsi="Tw Cen MT"/>
        </w:rPr>
        <w:t xml:space="preserve">that will be administered four times per year.  </w:t>
      </w:r>
      <w:r w:rsidR="003E7C6C">
        <w:rPr>
          <w:rFonts w:ascii="Tw Cen MT" w:hAnsi="Tw Cen MT"/>
        </w:rPr>
        <w:t>We will utilize this data to make informed decisions about our instructional program and making shifts as ne</w:t>
      </w:r>
      <w:r w:rsidR="008609A9">
        <w:rPr>
          <w:rFonts w:ascii="Tw Cen MT" w:hAnsi="Tw Cen MT"/>
        </w:rPr>
        <w:t>eded.</w:t>
      </w:r>
    </w:p>
    <w:p w14:paraId="653E3DB8" w14:textId="77777777" w:rsidR="00DA395B" w:rsidRDefault="00DA395B" w:rsidP="003B35CE">
      <w:pPr>
        <w:jc w:val="both"/>
        <w:rPr>
          <w:rFonts w:ascii="Tw Cen MT" w:hAnsi="Tw Cen MT"/>
        </w:rPr>
      </w:pPr>
    </w:p>
    <w:p w14:paraId="46856484" w14:textId="69D2A06B" w:rsidR="00675F09" w:rsidRDefault="00675F09" w:rsidP="003B35CE">
      <w:pPr>
        <w:jc w:val="both"/>
        <w:rPr>
          <w:rFonts w:ascii="Tw Cen MT" w:hAnsi="Tw Cen MT"/>
        </w:rPr>
      </w:pPr>
      <w:r>
        <w:rPr>
          <w:rFonts w:ascii="Tw Cen MT" w:hAnsi="Tw Cen MT"/>
        </w:rPr>
        <w:t>We will continue to implement the Insight Humanities curriculum in grades K-</w:t>
      </w:r>
      <w:r w:rsidR="00B94A3D">
        <w:rPr>
          <w:rFonts w:ascii="Tw Cen MT" w:hAnsi="Tw Cen MT"/>
        </w:rPr>
        <w:t>5 and</w:t>
      </w:r>
      <w:r>
        <w:rPr>
          <w:rFonts w:ascii="Tw Cen MT" w:hAnsi="Tw Cen MT"/>
        </w:rPr>
        <w:t xml:space="preserve"> will continue our training with the Lavinia Group directly to support this implementation</w:t>
      </w:r>
      <w:r w:rsidR="00120DC1">
        <w:rPr>
          <w:rFonts w:ascii="Tw Cen MT" w:hAnsi="Tw Cen MT"/>
        </w:rPr>
        <w:t xml:space="preserve">.  We have budgeted for 20 days of on-site support for the 2021-2022 school year, with this support also focusing on state assessment preparation.  </w:t>
      </w:r>
      <w:r w:rsidR="00665B7A">
        <w:rPr>
          <w:rFonts w:ascii="Tw Cen MT" w:hAnsi="Tw Cen MT"/>
        </w:rPr>
        <w:t xml:space="preserve">We have also purchased the Close Reading curriculum through the Lavinia Group for grades 3-5 to further support scholar text comprehension. </w:t>
      </w:r>
    </w:p>
    <w:p w14:paraId="09D1C3FA" w14:textId="4F5809C3" w:rsidR="00665B7A" w:rsidRDefault="00665B7A" w:rsidP="003B35CE">
      <w:pPr>
        <w:jc w:val="both"/>
        <w:rPr>
          <w:rFonts w:ascii="Tw Cen MT" w:hAnsi="Tw Cen MT"/>
        </w:rPr>
      </w:pPr>
    </w:p>
    <w:p w14:paraId="5C9EE414" w14:textId="5A327144" w:rsidR="00927F76" w:rsidRDefault="00665B7A" w:rsidP="00927F76">
      <w:pPr>
        <w:jc w:val="both"/>
        <w:rPr>
          <w:rFonts w:ascii="Tw Cen MT" w:eastAsia="Calibri" w:hAnsi="Tw Cen MT" w:cs="Calibri"/>
          <w:b/>
          <w:szCs w:val="23"/>
          <w:highlight w:val="lightGray"/>
        </w:rPr>
        <w:sectPr w:rsidR="00927F76" w:rsidSect="00BC64E6">
          <w:headerReference w:type="default" r:id="rId12"/>
          <w:footerReference w:type="default" r:id="rId13"/>
          <w:pgSz w:w="12240" w:h="15840" w:code="1"/>
          <w:pgMar w:top="1440" w:right="1440" w:bottom="1440" w:left="1440" w:header="720" w:footer="720" w:gutter="0"/>
          <w:pgNumType w:start="1"/>
          <w:cols w:space="720"/>
          <w:docGrid w:linePitch="313"/>
        </w:sectPr>
      </w:pPr>
      <w:r>
        <w:rPr>
          <w:rFonts w:ascii="Tw Cen MT" w:hAnsi="Tw Cen MT"/>
        </w:rPr>
        <w:t xml:space="preserve">In grades K-2, we have purchased </w:t>
      </w:r>
      <w:r w:rsidR="00D10127">
        <w:rPr>
          <w:rFonts w:ascii="Tw Cen MT" w:hAnsi="Tw Cen MT"/>
        </w:rPr>
        <w:t xml:space="preserve">the CKLA Skills curriculum to support our daily Foundations block.  </w:t>
      </w:r>
      <w:r w:rsidR="00DA395B">
        <w:rPr>
          <w:rFonts w:ascii="Tw Cen MT" w:hAnsi="Tw Cen MT"/>
        </w:rPr>
        <w:t xml:space="preserve">This curriculum is fully aligned to the Science of Reading research and </w:t>
      </w:r>
      <w:r w:rsidR="002E45A4">
        <w:rPr>
          <w:rFonts w:ascii="Tw Cen MT" w:hAnsi="Tw Cen MT"/>
        </w:rPr>
        <w:t xml:space="preserve">the DIBELS assessment.  We believe that this implementation will strengthen Tier 1 </w:t>
      </w:r>
      <w:r w:rsidR="00B94A3D">
        <w:rPr>
          <w:rFonts w:ascii="Tw Cen MT" w:hAnsi="Tw Cen MT"/>
        </w:rPr>
        <w:t>instruction and</w:t>
      </w:r>
      <w:r w:rsidR="00927F76">
        <w:rPr>
          <w:rFonts w:ascii="Tw Cen MT" w:hAnsi="Tw Cen MT"/>
        </w:rPr>
        <w:t xml:space="preserve"> develop our younger scholars into more proficient and fluent readers.</w:t>
      </w:r>
      <w:bookmarkEnd w:id="2"/>
    </w:p>
    <w:p w14:paraId="3117031D" w14:textId="401C89D6" w:rsidR="00D421C8" w:rsidRPr="000E063D" w:rsidRDefault="00D421C8" w:rsidP="00927F76">
      <w:pPr>
        <w:jc w:val="both"/>
        <w:rPr>
          <w:rFonts w:ascii="Tw Cen MT" w:hAnsi="Tw Cen MT"/>
        </w:rPr>
      </w:pPr>
    </w:p>
    <w:p w14:paraId="4490C904" w14:textId="1E4A5C38" w:rsidR="00056BFE" w:rsidRPr="000E063D" w:rsidRDefault="00EB48F9" w:rsidP="00056BFE">
      <w:pPr>
        <w:pStyle w:val="Heading1"/>
        <w:rPr>
          <w:rFonts w:ascii="Tw Cen MT" w:hAnsi="Tw Cen MT"/>
        </w:rPr>
      </w:pPr>
      <w:bookmarkStart w:id="4" w:name="Science"/>
      <w:r w:rsidRPr="000E063D">
        <w:rPr>
          <w:rFonts w:ascii="Tw Cen MT" w:hAnsi="Tw Cen MT"/>
        </w:rPr>
        <w:t xml:space="preserve">GOAL </w:t>
      </w:r>
      <w:r w:rsidR="00887AA2" w:rsidRPr="000E063D">
        <w:rPr>
          <w:rFonts w:ascii="Tw Cen MT" w:hAnsi="Tw Cen MT"/>
        </w:rPr>
        <w:t>2</w:t>
      </w:r>
      <w:r w:rsidRPr="000E063D">
        <w:rPr>
          <w:rFonts w:ascii="Tw Cen MT" w:hAnsi="Tw Cen MT"/>
        </w:rPr>
        <w:t xml:space="preserve">: </w:t>
      </w:r>
      <w:r w:rsidR="00056BFE" w:rsidRPr="000E063D">
        <w:rPr>
          <w:rFonts w:ascii="Tw Cen MT" w:hAnsi="Tw Cen MT"/>
        </w:rPr>
        <w:t>MATHEMATICS</w:t>
      </w:r>
    </w:p>
    <w:p w14:paraId="5A2DE2C7" w14:textId="6911987B" w:rsidR="00657B15" w:rsidRPr="000E063D" w:rsidRDefault="00657B15" w:rsidP="00657B15">
      <w:pPr>
        <w:pStyle w:val="GoalTitle"/>
        <w:rPr>
          <w:rFonts w:ascii="Tw Cen MT" w:hAnsi="Tw Cen MT"/>
        </w:rPr>
      </w:pPr>
      <w:r w:rsidRPr="000E063D">
        <w:rPr>
          <w:rFonts w:ascii="Tw Cen MT" w:hAnsi="Tw Cen MT"/>
        </w:rPr>
        <w:t xml:space="preserve">Goal </w:t>
      </w:r>
      <w:r w:rsidR="00887AA2" w:rsidRPr="000E063D">
        <w:rPr>
          <w:rFonts w:ascii="Tw Cen MT" w:hAnsi="Tw Cen MT"/>
        </w:rPr>
        <w:t>2</w:t>
      </w:r>
      <w:r w:rsidRPr="000E063D">
        <w:rPr>
          <w:rFonts w:ascii="Tw Cen MT" w:hAnsi="Tw Cen MT"/>
        </w:rPr>
        <w:t>: Mathematics</w:t>
      </w:r>
    </w:p>
    <w:p w14:paraId="1D4ED7FB" w14:textId="77777777" w:rsidR="00B83432" w:rsidRDefault="00B83432" w:rsidP="00B83432">
      <w:pPr>
        <w:spacing w:after="0"/>
        <w:rPr>
          <w:rFonts w:ascii="Tw Cen MT" w:hAnsi="Tw Cen MT" w:cstheme="minorHAnsi"/>
          <w:b/>
        </w:rPr>
      </w:pPr>
      <w:r w:rsidRPr="00F459E6">
        <w:rPr>
          <w:rFonts w:ascii="Tw Cen MT" w:hAnsi="Tw Cen MT" w:cstheme="minorHAnsi"/>
          <w:b/>
        </w:rPr>
        <w:t xml:space="preserve">Students will be proficient in </w:t>
      </w:r>
      <w:r>
        <w:rPr>
          <w:rFonts w:ascii="Tw Cen MT" w:hAnsi="Tw Cen MT" w:cstheme="minorHAnsi"/>
          <w:b/>
        </w:rPr>
        <w:t>Mathematics</w:t>
      </w:r>
      <w:r w:rsidRPr="00F459E6">
        <w:rPr>
          <w:rFonts w:ascii="Tw Cen MT" w:hAnsi="Tw Cen MT" w:cstheme="minorHAnsi"/>
          <w:b/>
        </w:rPr>
        <w:t xml:space="preserve">. </w:t>
      </w:r>
    </w:p>
    <w:p w14:paraId="0937449E" w14:textId="77777777" w:rsidR="00CA302E" w:rsidRPr="000E063D" w:rsidRDefault="00CA302E" w:rsidP="00CA302E">
      <w:pPr>
        <w:pStyle w:val="Heading2"/>
        <w:rPr>
          <w:rFonts w:ascii="Tw Cen MT" w:hAnsi="Tw Cen MT"/>
        </w:rPr>
      </w:pPr>
      <w:r w:rsidRPr="000E063D">
        <w:rPr>
          <w:rFonts w:ascii="Tw Cen MT" w:hAnsi="Tw Cen MT"/>
        </w:rPr>
        <w:t>Background</w:t>
      </w:r>
    </w:p>
    <w:p w14:paraId="1915A857" w14:textId="5E2B1029" w:rsidR="00E5271D" w:rsidRDefault="007A34ED" w:rsidP="00AA0DDF">
      <w:pPr>
        <w:jc w:val="both"/>
        <w:rPr>
          <w:rFonts w:ascii="Tw Cen MT" w:hAnsi="Tw Cen MT"/>
        </w:rPr>
      </w:pPr>
      <w:r w:rsidRPr="00AA0DDF">
        <w:rPr>
          <w:rFonts w:ascii="Tw Cen MT" w:hAnsi="Tw Cen MT"/>
        </w:rPr>
        <w:t>In the 2020-2021 school year</w:t>
      </w:r>
      <w:r w:rsidR="00BE192F" w:rsidRPr="00AA0DDF">
        <w:rPr>
          <w:rFonts w:ascii="Tw Cen MT" w:hAnsi="Tw Cen MT"/>
        </w:rPr>
        <w:t xml:space="preserve">, we utilized the Everyday Mathematics Curriculum for grades K-2 and the </w:t>
      </w:r>
      <w:proofErr w:type="spellStart"/>
      <w:r w:rsidR="00BE192F" w:rsidRPr="00AA0DDF">
        <w:rPr>
          <w:rFonts w:ascii="Tw Cen MT" w:hAnsi="Tw Cen MT"/>
        </w:rPr>
        <w:t>EngageNY</w:t>
      </w:r>
      <w:proofErr w:type="spellEnd"/>
      <w:r w:rsidR="00BE192F" w:rsidRPr="00AA0DDF">
        <w:rPr>
          <w:rFonts w:ascii="Tw Cen MT" w:hAnsi="Tw Cen MT"/>
        </w:rPr>
        <w:t xml:space="preserve"> modules in grade 3-4.  </w:t>
      </w:r>
      <w:r w:rsidR="008F0440" w:rsidRPr="00AA0DDF">
        <w:rPr>
          <w:rFonts w:ascii="Tw Cen MT" w:hAnsi="Tw Cen MT"/>
        </w:rPr>
        <w:t xml:space="preserve">Scholars also participated in </w:t>
      </w:r>
      <w:r w:rsidR="00992089" w:rsidRPr="00AA0DDF">
        <w:rPr>
          <w:rFonts w:ascii="Tw Cen MT" w:hAnsi="Tw Cen MT"/>
        </w:rPr>
        <w:t>daily acceleration</w:t>
      </w:r>
      <w:r w:rsidR="002D491F" w:rsidRPr="00AA0DDF">
        <w:rPr>
          <w:rFonts w:ascii="Tw Cen MT" w:hAnsi="Tw Cen MT"/>
        </w:rPr>
        <w:t xml:space="preserve"> that provided small group intervention support</w:t>
      </w:r>
      <w:r w:rsidR="00B75A59" w:rsidRPr="00AA0DDF">
        <w:rPr>
          <w:rFonts w:ascii="Tw Cen MT" w:hAnsi="Tw Cen MT"/>
        </w:rPr>
        <w:t xml:space="preserve">.  </w:t>
      </w:r>
      <w:r w:rsidR="00E15585" w:rsidRPr="00AA0DDF">
        <w:rPr>
          <w:rFonts w:ascii="Tw Cen MT" w:hAnsi="Tw Cen MT"/>
        </w:rPr>
        <w:t xml:space="preserve">In addition to the daily math block, all scholars also participated in daily fluency and CGI (Cognitively Guided Instruction).  Due to staffing challenges, we had a vacancy in </w:t>
      </w:r>
      <w:r w:rsidR="009E2588" w:rsidRPr="00AA0DDF">
        <w:rPr>
          <w:rFonts w:ascii="Tw Cen MT" w:hAnsi="Tw Cen MT"/>
        </w:rPr>
        <w:t xml:space="preserve">Math </w:t>
      </w:r>
      <w:proofErr w:type="spellStart"/>
      <w:r w:rsidR="009E2588" w:rsidRPr="00AA0DDF">
        <w:rPr>
          <w:rFonts w:ascii="Tw Cen MT" w:hAnsi="Tw Cen MT"/>
        </w:rPr>
        <w:t>RtI</w:t>
      </w:r>
      <w:proofErr w:type="spellEnd"/>
      <w:r w:rsidR="009E2588" w:rsidRPr="00AA0DDF">
        <w:rPr>
          <w:rFonts w:ascii="Tw Cen MT" w:hAnsi="Tw Cen MT"/>
        </w:rPr>
        <w:t xml:space="preserve"> for the duration of the school year</w:t>
      </w:r>
      <w:r w:rsidR="001D0AA8" w:rsidRPr="00AA0DDF">
        <w:rPr>
          <w:rFonts w:ascii="Tw Cen MT" w:hAnsi="Tw Cen MT"/>
        </w:rPr>
        <w:t xml:space="preserve"> that impeded our ability to provide more intensive supports </w:t>
      </w:r>
      <w:r w:rsidR="00AA0DDF" w:rsidRPr="00AA0DDF">
        <w:rPr>
          <w:rFonts w:ascii="Tw Cen MT" w:hAnsi="Tw Cen MT"/>
        </w:rPr>
        <w:t>to struggling scholars.  We were able to run a limited number of intervention groups for 1</w:t>
      </w:r>
      <w:r w:rsidR="00AA0DDF" w:rsidRPr="00AA0DDF">
        <w:rPr>
          <w:rFonts w:ascii="Tw Cen MT" w:hAnsi="Tw Cen MT"/>
          <w:vertAlign w:val="superscript"/>
        </w:rPr>
        <w:t>st</w:t>
      </w:r>
      <w:r w:rsidR="00AA0DDF" w:rsidRPr="00AA0DDF">
        <w:rPr>
          <w:rFonts w:ascii="Tw Cen MT" w:hAnsi="Tw Cen MT"/>
        </w:rPr>
        <w:t xml:space="preserve"> and 2</w:t>
      </w:r>
      <w:r w:rsidR="00AA0DDF" w:rsidRPr="00AA0DDF">
        <w:rPr>
          <w:rFonts w:ascii="Tw Cen MT" w:hAnsi="Tw Cen MT"/>
          <w:vertAlign w:val="superscript"/>
        </w:rPr>
        <w:t>nd</w:t>
      </w:r>
      <w:r w:rsidR="00AA0DDF" w:rsidRPr="00AA0DDF">
        <w:rPr>
          <w:rFonts w:ascii="Tw Cen MT" w:hAnsi="Tw Cen MT"/>
        </w:rPr>
        <w:t xml:space="preserve"> graders throughout the year. </w:t>
      </w:r>
      <w:r w:rsidR="00E5271D">
        <w:rPr>
          <w:rFonts w:ascii="Tw Cen MT" w:hAnsi="Tw Cen MT"/>
        </w:rPr>
        <w:t xml:space="preserve"> All scholars had access to </w:t>
      </w:r>
      <w:proofErr w:type="spellStart"/>
      <w:r w:rsidR="00E5271D">
        <w:rPr>
          <w:rFonts w:ascii="Tw Cen MT" w:hAnsi="Tw Cen MT"/>
        </w:rPr>
        <w:t>Zearn</w:t>
      </w:r>
      <w:proofErr w:type="spellEnd"/>
      <w:r w:rsidR="00E5271D">
        <w:rPr>
          <w:rFonts w:ascii="Tw Cen MT" w:hAnsi="Tw Cen MT"/>
        </w:rPr>
        <w:t xml:space="preserve"> for additional practice and support throughout the year. </w:t>
      </w:r>
    </w:p>
    <w:p w14:paraId="2EE8538D" w14:textId="0C71326D" w:rsidR="00E5271D" w:rsidRDefault="00E5271D" w:rsidP="00E5271D">
      <w:pPr>
        <w:jc w:val="both"/>
        <w:rPr>
          <w:rFonts w:ascii="Tw Cen MT" w:hAnsi="Tw Cen MT"/>
        </w:rPr>
      </w:pPr>
      <w:r>
        <w:rPr>
          <w:rFonts w:ascii="Tw Cen MT" w:hAnsi="Tw Cen MT"/>
        </w:rPr>
        <w:t xml:space="preserve">As previously mentioned, we operated the year fully in-person, with a small number of students and classes completing short quarantines, as needed.  During all periods of quarantine, virtual instruction took place with synchronous instruction in </w:t>
      </w:r>
      <w:r>
        <w:rPr>
          <w:rFonts w:ascii="Tw Cen MT" w:hAnsi="Tw Cen MT"/>
        </w:rPr>
        <w:t>Math</w:t>
      </w:r>
      <w:r>
        <w:rPr>
          <w:rFonts w:ascii="Tw Cen MT" w:hAnsi="Tw Cen MT"/>
        </w:rPr>
        <w:t xml:space="preserve">.  </w:t>
      </w:r>
    </w:p>
    <w:p w14:paraId="4DED97E0" w14:textId="77777777" w:rsidR="00E5271D" w:rsidRPr="00AA0DDF" w:rsidRDefault="00E5271D" w:rsidP="00AA0DDF">
      <w:pPr>
        <w:jc w:val="both"/>
        <w:rPr>
          <w:rFonts w:ascii="Tw Cen MT" w:hAnsi="Tw Cen MT"/>
        </w:rPr>
      </w:pPr>
    </w:p>
    <w:p w14:paraId="416971E7" w14:textId="5E235C3D" w:rsidR="002E28F6" w:rsidRPr="000E063D" w:rsidRDefault="002E28F6" w:rsidP="002E28F6">
      <w:pPr>
        <w:pStyle w:val="Heading2"/>
        <w:rPr>
          <w:rFonts w:ascii="Tw Cen MT" w:hAnsi="Tw Cen MT"/>
          <w:sz w:val="32"/>
          <w:szCs w:val="32"/>
        </w:rPr>
      </w:pPr>
      <w:r w:rsidRPr="000E063D">
        <w:rPr>
          <w:rStyle w:val="Heading1Char"/>
          <w:rFonts w:ascii="Tw Cen MT" w:hAnsi="Tw Cen MT"/>
          <w:bCs/>
          <w:caps/>
          <w:color w:val="365F91"/>
          <w:sz w:val="32"/>
          <w:szCs w:val="32"/>
        </w:rPr>
        <w:t>Elementary and middle Mathematics</w:t>
      </w:r>
    </w:p>
    <w:p w14:paraId="219A10ED" w14:textId="5D5DFC11" w:rsidR="00CA302E" w:rsidRPr="000E063D" w:rsidRDefault="00CA302E" w:rsidP="00CA302E">
      <w:pPr>
        <w:pStyle w:val="MeasureTitle"/>
        <w:rPr>
          <w:rFonts w:ascii="Tw Cen MT" w:hAnsi="Tw Cen MT"/>
        </w:rPr>
      </w:pPr>
      <w:r w:rsidRPr="000E063D">
        <w:rPr>
          <w:rFonts w:ascii="Tw Cen MT" w:hAnsi="Tw Cen MT"/>
        </w:rPr>
        <w:t xml:space="preserve">Goal </w:t>
      </w:r>
      <w:r w:rsidR="00A13DFD" w:rsidRPr="000E063D">
        <w:rPr>
          <w:rFonts w:ascii="Tw Cen MT" w:hAnsi="Tw Cen MT"/>
        </w:rPr>
        <w:t>2</w:t>
      </w:r>
      <w:r w:rsidRPr="000E063D">
        <w:rPr>
          <w:rFonts w:ascii="Tw Cen MT" w:hAnsi="Tw Cen MT"/>
        </w:rPr>
        <w:t>: Absolute Measure</w:t>
      </w:r>
    </w:p>
    <w:p w14:paraId="2E880909" w14:textId="2E51EB69" w:rsidR="00CA302E" w:rsidRPr="000E063D" w:rsidRDefault="00CA302E" w:rsidP="00CA302E">
      <w:pPr>
        <w:pStyle w:val="MeasureText"/>
        <w:rPr>
          <w:rFonts w:ascii="Tw Cen MT" w:hAnsi="Tw Cen MT"/>
        </w:rPr>
      </w:pPr>
      <w:r w:rsidRPr="000E063D">
        <w:rPr>
          <w:rFonts w:ascii="Tw Cen MT" w:hAnsi="Tw Cen MT"/>
        </w:rPr>
        <w:t xml:space="preserve">Each year, 75 percent of all tested students enrolled in at least their second year will perform at or above proficiency on the New York State </w:t>
      </w:r>
      <w:r w:rsidR="00F32E86" w:rsidRPr="000E063D">
        <w:rPr>
          <w:rFonts w:ascii="Tw Cen MT" w:hAnsi="Tw Cen MT"/>
        </w:rPr>
        <w:t xml:space="preserve">Mathematics </w:t>
      </w:r>
      <w:r w:rsidRPr="000E063D">
        <w:rPr>
          <w:rFonts w:ascii="Tw Cen MT" w:hAnsi="Tw Cen MT"/>
        </w:rPr>
        <w:t xml:space="preserve">examination for grades 3-8.  </w:t>
      </w:r>
    </w:p>
    <w:p w14:paraId="33CF718E" w14:textId="77777777" w:rsidR="00CA302E" w:rsidRPr="000E063D" w:rsidRDefault="00CA302E" w:rsidP="00CA302E">
      <w:pPr>
        <w:pStyle w:val="Heading2"/>
        <w:rPr>
          <w:rFonts w:ascii="Tw Cen MT" w:hAnsi="Tw Cen MT"/>
        </w:rPr>
      </w:pPr>
      <w:r w:rsidRPr="000E063D">
        <w:rPr>
          <w:rFonts w:ascii="Tw Cen MT" w:hAnsi="Tw Cen MT"/>
        </w:rPr>
        <w:t>Method</w:t>
      </w:r>
    </w:p>
    <w:p w14:paraId="38441729" w14:textId="7A170380" w:rsidR="00CA302E" w:rsidRPr="000E063D" w:rsidRDefault="00CA302E" w:rsidP="00F2377C">
      <w:pPr>
        <w:jc w:val="both"/>
        <w:rPr>
          <w:rFonts w:ascii="Tw Cen MT" w:hAnsi="Tw Cen MT"/>
        </w:rPr>
      </w:pPr>
      <w:r w:rsidRPr="000E063D">
        <w:rPr>
          <w:rFonts w:ascii="Tw Cen MT" w:hAnsi="Tw Cen MT"/>
        </w:rPr>
        <w:t xml:space="preserve">The </w:t>
      </w:r>
      <w:r w:rsidRPr="00B83432">
        <w:rPr>
          <w:rFonts w:ascii="Tw Cen MT" w:hAnsi="Tw Cen MT"/>
        </w:rPr>
        <w:t xml:space="preserve">school administered the New York State Testing Program </w:t>
      </w:r>
      <w:r w:rsidR="00F32E86" w:rsidRPr="00B83432">
        <w:rPr>
          <w:rFonts w:ascii="Tw Cen MT" w:hAnsi="Tw Cen MT"/>
        </w:rPr>
        <w:t>Mathematics</w:t>
      </w:r>
      <w:r w:rsidRPr="00B83432">
        <w:rPr>
          <w:rFonts w:ascii="Tw Cen MT" w:hAnsi="Tw Cen MT"/>
        </w:rPr>
        <w:t xml:space="preserve"> assessment to students in </w:t>
      </w:r>
      <w:sdt>
        <w:sdtPr>
          <w:rPr>
            <w:rFonts w:ascii="Tw Cen MT" w:hAnsi="Tw Cen MT"/>
          </w:rPr>
          <w:id w:val="931017401"/>
          <w:placeholder>
            <w:docPart w:val="DF1187B029D24315BDA99436570E4B99"/>
          </w:placeholder>
        </w:sdtPr>
        <w:sdtContent>
          <w:r w:rsidR="00B83432" w:rsidRPr="00B83432">
            <w:rPr>
              <w:rFonts w:ascii="Tw Cen MT" w:hAnsi="Tw Cen MT"/>
            </w:rPr>
            <w:t>3</w:t>
          </w:r>
        </w:sdtContent>
      </w:sdt>
      <w:r w:rsidRPr="00B83432">
        <w:rPr>
          <w:rFonts w:ascii="Tw Cen MT" w:hAnsi="Tw Cen MT"/>
        </w:rPr>
        <w:t xml:space="preserve"> through </w:t>
      </w:r>
      <w:sdt>
        <w:sdtPr>
          <w:rPr>
            <w:rFonts w:ascii="Tw Cen MT" w:hAnsi="Tw Cen MT"/>
          </w:rPr>
          <w:id w:val="1188412191"/>
          <w:placeholder>
            <w:docPart w:val="DF1187B029D24315BDA99436570E4B99"/>
          </w:placeholder>
        </w:sdtPr>
        <w:sdtContent>
          <w:r w:rsidR="00B83432" w:rsidRPr="00B83432">
            <w:rPr>
              <w:rFonts w:ascii="Tw Cen MT" w:hAnsi="Tw Cen MT"/>
            </w:rPr>
            <w:t>4</w:t>
          </w:r>
        </w:sdtContent>
      </w:sdt>
      <w:r w:rsidRPr="000E063D">
        <w:rPr>
          <w:rFonts w:ascii="Tw Cen MT" w:hAnsi="Tw Cen MT"/>
        </w:rPr>
        <w:t xml:space="preserve"> grades in spring 2022.  Each student’s raw score has been converted to a grade-specific scaled score and a performance level.  </w:t>
      </w:r>
    </w:p>
    <w:p w14:paraId="2739556D" w14:textId="6DA831A6" w:rsidR="00CA302E" w:rsidRDefault="00CA302E" w:rsidP="00F2377C">
      <w:pPr>
        <w:jc w:val="both"/>
        <w:rPr>
          <w:rFonts w:ascii="Tw Cen MT" w:hAnsi="Tw Cen MT"/>
          <w:szCs w:val="23"/>
        </w:rPr>
      </w:pPr>
      <w:r w:rsidRPr="000E063D">
        <w:rPr>
          <w:rFonts w:ascii="Tw Cen MT" w:hAnsi="Tw Cen MT"/>
          <w:szCs w:val="23"/>
        </w:rPr>
        <w:t>The table below summarizes participation information for this year’s test administration.</w:t>
      </w:r>
      <w:r w:rsidRPr="000E063D">
        <w:rPr>
          <w:rFonts w:ascii="Tw Cen MT" w:hAnsi="Tw Cen MT"/>
          <w:szCs w:val="23"/>
          <w:vertAlign w:val="superscript"/>
        </w:rPr>
        <w:t xml:space="preserve">   </w:t>
      </w:r>
      <w:r w:rsidRPr="000E063D">
        <w:rPr>
          <w:rFonts w:ascii="Tw Cen MT" w:hAnsi="Tw Cen MT"/>
          <w:szCs w:val="23"/>
        </w:rPr>
        <w:t xml:space="preserve">The table indicates total enrollment and total number of students tested.  It also provides a detailed breakdown of those students excluded from the exam.  Note that this table includes all students according to grade level, even if they have not enrolled in at least their second year (defined as enrolled by </w:t>
      </w:r>
      <w:proofErr w:type="gramStart"/>
      <w:r w:rsidRPr="000E063D">
        <w:rPr>
          <w:rFonts w:ascii="Tw Cen MT" w:hAnsi="Tw Cen MT"/>
          <w:szCs w:val="23"/>
        </w:rPr>
        <w:t>BEDS day</w:t>
      </w:r>
      <w:proofErr w:type="gramEnd"/>
      <w:r w:rsidRPr="000E063D">
        <w:rPr>
          <w:rFonts w:ascii="Tw Cen MT" w:hAnsi="Tw Cen MT"/>
          <w:szCs w:val="23"/>
        </w:rPr>
        <w:t xml:space="preserve"> of the previous school year).  </w:t>
      </w:r>
    </w:p>
    <w:p w14:paraId="68859407" w14:textId="678CD1F1" w:rsidR="00E5271D" w:rsidRDefault="00E5271D" w:rsidP="00F2377C">
      <w:pPr>
        <w:jc w:val="both"/>
        <w:rPr>
          <w:rFonts w:ascii="Tw Cen MT" w:hAnsi="Tw Cen MT"/>
          <w:szCs w:val="23"/>
        </w:rPr>
      </w:pPr>
    </w:p>
    <w:p w14:paraId="205EFEFE" w14:textId="77691416" w:rsidR="00E5271D" w:rsidRDefault="00E5271D" w:rsidP="00F2377C">
      <w:pPr>
        <w:jc w:val="both"/>
        <w:rPr>
          <w:rFonts w:ascii="Tw Cen MT" w:hAnsi="Tw Cen MT"/>
          <w:szCs w:val="23"/>
        </w:rPr>
      </w:pPr>
    </w:p>
    <w:p w14:paraId="15348A94" w14:textId="1BB5098A" w:rsidR="00E5271D" w:rsidRDefault="00E5271D" w:rsidP="00F2377C">
      <w:pPr>
        <w:jc w:val="both"/>
        <w:rPr>
          <w:rFonts w:ascii="Tw Cen MT" w:hAnsi="Tw Cen MT"/>
          <w:szCs w:val="23"/>
        </w:rPr>
      </w:pPr>
    </w:p>
    <w:p w14:paraId="0B3BA856" w14:textId="0AB59D5F" w:rsidR="00E5271D" w:rsidRDefault="00E5271D" w:rsidP="00F2377C">
      <w:pPr>
        <w:jc w:val="both"/>
        <w:rPr>
          <w:rFonts w:ascii="Tw Cen MT" w:hAnsi="Tw Cen MT"/>
          <w:szCs w:val="23"/>
        </w:rPr>
      </w:pPr>
    </w:p>
    <w:p w14:paraId="74630CD7" w14:textId="16F09150" w:rsidR="00E5271D" w:rsidRDefault="00E5271D" w:rsidP="00F2377C">
      <w:pPr>
        <w:jc w:val="both"/>
        <w:rPr>
          <w:rFonts w:ascii="Tw Cen MT" w:hAnsi="Tw Cen MT"/>
          <w:szCs w:val="23"/>
        </w:rPr>
      </w:pPr>
    </w:p>
    <w:p w14:paraId="2603719F" w14:textId="6D2AA625" w:rsidR="00E5271D" w:rsidRDefault="00E5271D" w:rsidP="00F2377C">
      <w:pPr>
        <w:jc w:val="both"/>
        <w:rPr>
          <w:rFonts w:ascii="Tw Cen MT" w:hAnsi="Tw Cen MT"/>
          <w:szCs w:val="23"/>
        </w:rPr>
      </w:pPr>
    </w:p>
    <w:p w14:paraId="1834BAED" w14:textId="77777777" w:rsidR="00E5271D" w:rsidRPr="000E063D" w:rsidRDefault="00E5271D" w:rsidP="00F2377C">
      <w:pPr>
        <w:jc w:val="both"/>
        <w:rPr>
          <w:rFonts w:ascii="Tw Cen MT" w:hAnsi="Tw Cen MT"/>
          <w:szCs w:val="23"/>
        </w:rPr>
      </w:pPr>
    </w:p>
    <w:p w14:paraId="5D8F0A5E" w14:textId="2C058896" w:rsidR="00CA302E" w:rsidRPr="000E063D" w:rsidRDefault="00CA302E" w:rsidP="00CA302E">
      <w:pPr>
        <w:pStyle w:val="TableHeader"/>
        <w:rPr>
          <w:rFonts w:ascii="Tw Cen MT" w:hAnsi="Tw Cen MT"/>
        </w:rPr>
      </w:pPr>
      <w:r w:rsidRPr="000E063D">
        <w:rPr>
          <w:rFonts w:ascii="Tw Cen MT" w:hAnsi="Tw Cen MT"/>
        </w:rPr>
        <w:lastRenderedPageBreak/>
        <w:t xml:space="preserve">2021-22 State </w:t>
      </w:r>
      <w:r w:rsidR="0024329C" w:rsidRPr="000E063D">
        <w:rPr>
          <w:rFonts w:ascii="Tw Cen MT" w:hAnsi="Tw Cen MT"/>
        </w:rPr>
        <w:t xml:space="preserve">Mathematics </w:t>
      </w:r>
      <w:r w:rsidRPr="000E063D">
        <w:rPr>
          <w:rFonts w:ascii="Tw Cen MT" w:hAnsi="Tw Cen MT"/>
        </w:rPr>
        <w:t>Exam</w:t>
      </w:r>
      <w:r w:rsidRPr="000E063D">
        <w:rPr>
          <w:rFonts w:ascii="Tw Cen MT" w:hAnsi="Tw Cen MT"/>
        </w:rPr>
        <w:br/>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895"/>
        <w:gridCol w:w="1161"/>
      </w:tblGrid>
      <w:tr w:rsidR="00CA302E" w:rsidRPr="000E063D" w14:paraId="3EA82124" w14:textId="77777777" w:rsidTr="003E2DCF">
        <w:trPr>
          <w:jc w:val="center"/>
        </w:trPr>
        <w:tc>
          <w:tcPr>
            <w:tcW w:w="810" w:type="dxa"/>
            <w:vMerge w:val="restart"/>
            <w:vAlign w:val="center"/>
          </w:tcPr>
          <w:p w14:paraId="538D94D5" w14:textId="77777777" w:rsidR="00CA302E" w:rsidRPr="000E063D" w:rsidRDefault="00CA302E" w:rsidP="003E2DCF">
            <w:pPr>
              <w:pStyle w:val="TableText"/>
              <w:rPr>
                <w:rFonts w:ascii="Tw Cen MT" w:hAnsi="Tw Cen MT"/>
              </w:rPr>
            </w:pPr>
            <w:r w:rsidRPr="000E063D">
              <w:rPr>
                <w:rFonts w:ascii="Tw Cen MT" w:hAnsi="Tw Cen MT"/>
              </w:rPr>
              <w:t xml:space="preserve">  Grade</w:t>
            </w:r>
          </w:p>
        </w:tc>
        <w:tc>
          <w:tcPr>
            <w:tcW w:w="990" w:type="dxa"/>
            <w:vMerge w:val="restart"/>
            <w:vAlign w:val="center"/>
          </w:tcPr>
          <w:p w14:paraId="7993A3AA" w14:textId="77777777" w:rsidR="00CA302E" w:rsidRPr="000E063D" w:rsidRDefault="00CA302E" w:rsidP="003E2DCF">
            <w:pPr>
              <w:pStyle w:val="TableText"/>
              <w:rPr>
                <w:rFonts w:ascii="Tw Cen MT" w:hAnsi="Tw Cen MT"/>
              </w:rPr>
            </w:pPr>
            <w:r w:rsidRPr="000E063D">
              <w:rPr>
                <w:rFonts w:ascii="Tw Cen MT" w:hAnsi="Tw Cen MT"/>
              </w:rPr>
              <w:t>Total Tested</w:t>
            </w:r>
          </w:p>
        </w:tc>
        <w:tc>
          <w:tcPr>
            <w:tcW w:w="3325" w:type="dxa"/>
            <w:gridSpan w:val="4"/>
            <w:vAlign w:val="center"/>
          </w:tcPr>
          <w:p w14:paraId="2FFAAD5D" w14:textId="402532C5" w:rsidR="00CA302E" w:rsidRPr="000E063D" w:rsidRDefault="00CA302E" w:rsidP="003E2DCF">
            <w:pPr>
              <w:pStyle w:val="TableText"/>
              <w:rPr>
                <w:rFonts w:ascii="Tw Cen MT" w:hAnsi="Tw Cen MT"/>
              </w:rPr>
            </w:pPr>
            <w:r w:rsidRPr="000E063D">
              <w:rPr>
                <w:rFonts w:ascii="Tw Cen MT" w:hAnsi="Tw Cen MT"/>
              </w:rPr>
              <w:t>Not Tested</w:t>
            </w:r>
          </w:p>
        </w:tc>
        <w:tc>
          <w:tcPr>
            <w:tcW w:w="1161" w:type="dxa"/>
            <w:vMerge w:val="restart"/>
            <w:vAlign w:val="center"/>
          </w:tcPr>
          <w:p w14:paraId="3ED9A552" w14:textId="77777777" w:rsidR="00CA302E" w:rsidRPr="000E063D" w:rsidRDefault="00CA302E" w:rsidP="003E2DCF">
            <w:pPr>
              <w:pStyle w:val="TableText"/>
              <w:rPr>
                <w:rFonts w:ascii="Tw Cen MT" w:hAnsi="Tw Cen MT"/>
              </w:rPr>
            </w:pPr>
            <w:r w:rsidRPr="000E063D">
              <w:rPr>
                <w:rFonts w:ascii="Tw Cen MT" w:hAnsi="Tw Cen MT"/>
              </w:rPr>
              <w:t>Total Enrolled</w:t>
            </w:r>
          </w:p>
        </w:tc>
      </w:tr>
      <w:tr w:rsidR="00CA302E" w:rsidRPr="000E063D" w14:paraId="36BA7DEB" w14:textId="77777777" w:rsidTr="003E2DCF">
        <w:trPr>
          <w:jc w:val="center"/>
        </w:trPr>
        <w:tc>
          <w:tcPr>
            <w:tcW w:w="810" w:type="dxa"/>
            <w:vMerge/>
            <w:vAlign w:val="center"/>
          </w:tcPr>
          <w:p w14:paraId="530C4090" w14:textId="77777777" w:rsidR="00CA302E" w:rsidRPr="000E063D" w:rsidRDefault="00CA302E" w:rsidP="003E2DCF">
            <w:pPr>
              <w:pStyle w:val="TableText"/>
              <w:rPr>
                <w:rFonts w:ascii="Tw Cen MT" w:hAnsi="Tw Cen MT"/>
              </w:rPr>
            </w:pPr>
          </w:p>
        </w:tc>
        <w:tc>
          <w:tcPr>
            <w:tcW w:w="990" w:type="dxa"/>
            <w:vMerge/>
            <w:vAlign w:val="center"/>
          </w:tcPr>
          <w:p w14:paraId="1815B007" w14:textId="77777777" w:rsidR="00CA302E" w:rsidRPr="000E063D" w:rsidRDefault="00CA302E" w:rsidP="003E2DCF">
            <w:pPr>
              <w:pStyle w:val="TableText"/>
              <w:rPr>
                <w:rFonts w:ascii="Tw Cen MT" w:hAnsi="Tw Cen MT"/>
              </w:rPr>
            </w:pPr>
          </w:p>
        </w:tc>
        <w:tc>
          <w:tcPr>
            <w:tcW w:w="810" w:type="dxa"/>
            <w:vAlign w:val="center"/>
          </w:tcPr>
          <w:p w14:paraId="130EBC9C" w14:textId="77777777" w:rsidR="00CA302E" w:rsidRPr="000E063D" w:rsidRDefault="00CA302E" w:rsidP="003E2DCF">
            <w:pPr>
              <w:pStyle w:val="TableText"/>
              <w:rPr>
                <w:rFonts w:ascii="Tw Cen MT" w:hAnsi="Tw Cen MT"/>
              </w:rPr>
            </w:pPr>
            <w:r w:rsidRPr="000E063D">
              <w:rPr>
                <w:rFonts w:ascii="Tw Cen MT" w:hAnsi="Tw Cen MT"/>
              </w:rPr>
              <w:t>IEP</w:t>
            </w:r>
          </w:p>
        </w:tc>
        <w:tc>
          <w:tcPr>
            <w:tcW w:w="810" w:type="dxa"/>
            <w:vAlign w:val="center"/>
          </w:tcPr>
          <w:p w14:paraId="37666BC3" w14:textId="77777777" w:rsidR="00CA302E" w:rsidRPr="000E063D" w:rsidRDefault="00CA302E" w:rsidP="003E2DCF">
            <w:pPr>
              <w:pStyle w:val="TableText"/>
              <w:rPr>
                <w:rFonts w:ascii="Tw Cen MT" w:hAnsi="Tw Cen MT"/>
              </w:rPr>
            </w:pPr>
            <w:r w:rsidRPr="000E063D">
              <w:rPr>
                <w:rFonts w:ascii="Tw Cen MT" w:hAnsi="Tw Cen MT"/>
              </w:rPr>
              <w:t>ELL</w:t>
            </w:r>
          </w:p>
        </w:tc>
        <w:tc>
          <w:tcPr>
            <w:tcW w:w="810" w:type="dxa"/>
            <w:vAlign w:val="center"/>
          </w:tcPr>
          <w:p w14:paraId="6F40EF6E" w14:textId="77777777" w:rsidR="00CA302E" w:rsidRPr="000E063D" w:rsidRDefault="00CA302E" w:rsidP="003E2DCF">
            <w:pPr>
              <w:pStyle w:val="TableText"/>
              <w:rPr>
                <w:rFonts w:ascii="Tw Cen MT" w:hAnsi="Tw Cen MT"/>
              </w:rPr>
            </w:pPr>
            <w:r w:rsidRPr="000E063D">
              <w:rPr>
                <w:rFonts w:ascii="Tw Cen MT" w:hAnsi="Tw Cen MT"/>
              </w:rPr>
              <w:t>Absent</w:t>
            </w:r>
          </w:p>
        </w:tc>
        <w:tc>
          <w:tcPr>
            <w:tcW w:w="895" w:type="dxa"/>
          </w:tcPr>
          <w:p w14:paraId="292E35C4" w14:textId="77777777" w:rsidR="00CA302E" w:rsidRPr="000E063D" w:rsidRDefault="00CA302E" w:rsidP="003E2DCF">
            <w:pPr>
              <w:pStyle w:val="TableText"/>
              <w:rPr>
                <w:rFonts w:ascii="Tw Cen MT" w:hAnsi="Tw Cen MT"/>
              </w:rPr>
            </w:pPr>
            <w:r w:rsidRPr="000E063D">
              <w:rPr>
                <w:rFonts w:ascii="Tw Cen MT" w:hAnsi="Tw Cen MT"/>
              </w:rPr>
              <w:t>Other reason</w:t>
            </w:r>
          </w:p>
        </w:tc>
        <w:tc>
          <w:tcPr>
            <w:tcW w:w="1161" w:type="dxa"/>
            <w:vMerge/>
            <w:vAlign w:val="center"/>
          </w:tcPr>
          <w:p w14:paraId="6CD15BC5" w14:textId="77777777" w:rsidR="00CA302E" w:rsidRPr="000E063D" w:rsidRDefault="00CA302E" w:rsidP="003E2DCF">
            <w:pPr>
              <w:pStyle w:val="TableText"/>
              <w:rPr>
                <w:rFonts w:ascii="Tw Cen MT" w:hAnsi="Tw Cen MT"/>
              </w:rPr>
            </w:pPr>
          </w:p>
        </w:tc>
      </w:tr>
      <w:tr w:rsidR="00CA302E" w:rsidRPr="000E063D" w14:paraId="58206796" w14:textId="77777777" w:rsidTr="003E2DCF">
        <w:trPr>
          <w:jc w:val="center"/>
        </w:trPr>
        <w:tc>
          <w:tcPr>
            <w:tcW w:w="810" w:type="dxa"/>
            <w:vAlign w:val="center"/>
          </w:tcPr>
          <w:p w14:paraId="2B7D62D6" w14:textId="77777777" w:rsidR="00CA302E" w:rsidRPr="000E063D" w:rsidRDefault="00CA302E" w:rsidP="003E2DCF">
            <w:pPr>
              <w:pStyle w:val="TableText"/>
              <w:rPr>
                <w:rFonts w:ascii="Tw Cen MT" w:hAnsi="Tw Cen MT"/>
              </w:rPr>
            </w:pPr>
            <w:r w:rsidRPr="000E063D">
              <w:rPr>
                <w:rFonts w:ascii="Tw Cen MT" w:hAnsi="Tw Cen MT"/>
              </w:rPr>
              <w:t>3</w:t>
            </w:r>
          </w:p>
        </w:tc>
        <w:tc>
          <w:tcPr>
            <w:tcW w:w="990" w:type="dxa"/>
            <w:vAlign w:val="center"/>
          </w:tcPr>
          <w:p w14:paraId="044563A5" w14:textId="6BC4B039" w:rsidR="00CA302E" w:rsidRPr="000E063D" w:rsidRDefault="00701F58" w:rsidP="003E2DCF">
            <w:pPr>
              <w:pStyle w:val="TableText"/>
              <w:rPr>
                <w:rFonts w:ascii="Tw Cen MT" w:hAnsi="Tw Cen MT"/>
              </w:rPr>
            </w:pPr>
            <w:r w:rsidRPr="000E063D">
              <w:rPr>
                <w:rFonts w:ascii="Tw Cen MT" w:hAnsi="Tw Cen MT"/>
              </w:rPr>
              <w:t>52</w:t>
            </w:r>
          </w:p>
        </w:tc>
        <w:tc>
          <w:tcPr>
            <w:tcW w:w="810" w:type="dxa"/>
            <w:vAlign w:val="center"/>
          </w:tcPr>
          <w:p w14:paraId="750C5162" w14:textId="73A95A50" w:rsidR="00CA302E" w:rsidRPr="000E063D" w:rsidRDefault="00701F58" w:rsidP="003E2DCF">
            <w:pPr>
              <w:pStyle w:val="TableText"/>
              <w:rPr>
                <w:rFonts w:ascii="Tw Cen MT" w:hAnsi="Tw Cen MT"/>
              </w:rPr>
            </w:pPr>
            <w:r w:rsidRPr="000E063D">
              <w:rPr>
                <w:rFonts w:ascii="Tw Cen MT" w:hAnsi="Tw Cen MT"/>
              </w:rPr>
              <w:t>0</w:t>
            </w:r>
          </w:p>
        </w:tc>
        <w:tc>
          <w:tcPr>
            <w:tcW w:w="810" w:type="dxa"/>
            <w:vAlign w:val="center"/>
          </w:tcPr>
          <w:p w14:paraId="749B0F64" w14:textId="42FAA693" w:rsidR="00CA302E" w:rsidRPr="000E063D" w:rsidRDefault="00701F58" w:rsidP="003E2DCF">
            <w:pPr>
              <w:pStyle w:val="TableText"/>
              <w:rPr>
                <w:rFonts w:ascii="Tw Cen MT" w:hAnsi="Tw Cen MT"/>
              </w:rPr>
            </w:pPr>
            <w:r w:rsidRPr="000E063D">
              <w:rPr>
                <w:rFonts w:ascii="Tw Cen MT" w:hAnsi="Tw Cen MT"/>
              </w:rPr>
              <w:t>0</w:t>
            </w:r>
          </w:p>
        </w:tc>
        <w:tc>
          <w:tcPr>
            <w:tcW w:w="810" w:type="dxa"/>
            <w:vAlign w:val="center"/>
          </w:tcPr>
          <w:p w14:paraId="7BAA53A7" w14:textId="24D52474" w:rsidR="00CA302E" w:rsidRPr="000E063D" w:rsidRDefault="00701F58" w:rsidP="003E2DCF">
            <w:pPr>
              <w:pStyle w:val="TableText"/>
              <w:rPr>
                <w:rFonts w:ascii="Tw Cen MT" w:hAnsi="Tw Cen MT"/>
              </w:rPr>
            </w:pPr>
            <w:r w:rsidRPr="000E063D">
              <w:rPr>
                <w:rFonts w:ascii="Tw Cen MT" w:hAnsi="Tw Cen MT"/>
              </w:rPr>
              <w:t>2</w:t>
            </w:r>
          </w:p>
        </w:tc>
        <w:tc>
          <w:tcPr>
            <w:tcW w:w="895" w:type="dxa"/>
          </w:tcPr>
          <w:p w14:paraId="50583643" w14:textId="1FE441D2" w:rsidR="00CA302E" w:rsidRPr="000E063D" w:rsidRDefault="00701F58" w:rsidP="003E2DCF">
            <w:pPr>
              <w:pStyle w:val="TableText"/>
              <w:rPr>
                <w:rFonts w:ascii="Tw Cen MT" w:hAnsi="Tw Cen MT"/>
              </w:rPr>
            </w:pPr>
            <w:r w:rsidRPr="000E063D">
              <w:rPr>
                <w:rFonts w:ascii="Tw Cen MT" w:hAnsi="Tw Cen MT"/>
              </w:rPr>
              <w:t>1</w:t>
            </w:r>
          </w:p>
        </w:tc>
        <w:tc>
          <w:tcPr>
            <w:tcW w:w="1161" w:type="dxa"/>
            <w:vAlign w:val="center"/>
          </w:tcPr>
          <w:p w14:paraId="63268746" w14:textId="00ED81F7" w:rsidR="00CA302E" w:rsidRPr="000E063D" w:rsidRDefault="00DE223E" w:rsidP="003E2DCF">
            <w:pPr>
              <w:pStyle w:val="TableText"/>
              <w:rPr>
                <w:rFonts w:ascii="Tw Cen MT" w:hAnsi="Tw Cen MT"/>
              </w:rPr>
            </w:pPr>
            <w:r w:rsidRPr="000E063D">
              <w:rPr>
                <w:rFonts w:ascii="Tw Cen MT" w:hAnsi="Tw Cen MT"/>
              </w:rPr>
              <w:t>55</w:t>
            </w:r>
          </w:p>
        </w:tc>
      </w:tr>
      <w:tr w:rsidR="00CA302E" w:rsidRPr="000E063D" w14:paraId="5C28CEBC" w14:textId="77777777" w:rsidTr="003E2DCF">
        <w:trPr>
          <w:jc w:val="center"/>
        </w:trPr>
        <w:tc>
          <w:tcPr>
            <w:tcW w:w="810" w:type="dxa"/>
            <w:vAlign w:val="center"/>
          </w:tcPr>
          <w:p w14:paraId="6E32D98E" w14:textId="77777777" w:rsidR="00CA302E" w:rsidRPr="000E063D" w:rsidRDefault="00CA302E" w:rsidP="003E2DCF">
            <w:pPr>
              <w:pStyle w:val="TableText"/>
              <w:rPr>
                <w:rFonts w:ascii="Tw Cen MT" w:hAnsi="Tw Cen MT"/>
              </w:rPr>
            </w:pPr>
            <w:r w:rsidRPr="000E063D">
              <w:rPr>
                <w:rFonts w:ascii="Tw Cen MT" w:hAnsi="Tw Cen MT"/>
              </w:rPr>
              <w:t>4</w:t>
            </w:r>
          </w:p>
        </w:tc>
        <w:tc>
          <w:tcPr>
            <w:tcW w:w="990" w:type="dxa"/>
            <w:vAlign w:val="center"/>
          </w:tcPr>
          <w:p w14:paraId="2FD1044A" w14:textId="2DA116F7" w:rsidR="00CA302E" w:rsidRPr="000E063D" w:rsidRDefault="00DE223E" w:rsidP="003E2DCF">
            <w:pPr>
              <w:pStyle w:val="TableText"/>
              <w:rPr>
                <w:rFonts w:ascii="Tw Cen MT" w:hAnsi="Tw Cen MT"/>
              </w:rPr>
            </w:pPr>
            <w:r w:rsidRPr="000E063D">
              <w:rPr>
                <w:rFonts w:ascii="Tw Cen MT" w:hAnsi="Tw Cen MT"/>
              </w:rPr>
              <w:t>53</w:t>
            </w:r>
          </w:p>
        </w:tc>
        <w:tc>
          <w:tcPr>
            <w:tcW w:w="810" w:type="dxa"/>
            <w:vAlign w:val="center"/>
          </w:tcPr>
          <w:p w14:paraId="009E4D59" w14:textId="17FACC8D" w:rsidR="00CA302E" w:rsidRPr="000E063D" w:rsidRDefault="00DE223E" w:rsidP="003E2DCF">
            <w:pPr>
              <w:pStyle w:val="TableText"/>
              <w:rPr>
                <w:rFonts w:ascii="Tw Cen MT" w:hAnsi="Tw Cen MT"/>
              </w:rPr>
            </w:pPr>
            <w:r w:rsidRPr="000E063D">
              <w:rPr>
                <w:rFonts w:ascii="Tw Cen MT" w:hAnsi="Tw Cen MT"/>
              </w:rPr>
              <w:t>0</w:t>
            </w:r>
          </w:p>
        </w:tc>
        <w:tc>
          <w:tcPr>
            <w:tcW w:w="810" w:type="dxa"/>
            <w:vAlign w:val="center"/>
          </w:tcPr>
          <w:p w14:paraId="540A073A" w14:textId="0B85EBA5" w:rsidR="00CA302E" w:rsidRPr="000E063D" w:rsidRDefault="00DE223E" w:rsidP="003E2DCF">
            <w:pPr>
              <w:pStyle w:val="TableText"/>
              <w:rPr>
                <w:rFonts w:ascii="Tw Cen MT" w:hAnsi="Tw Cen MT"/>
              </w:rPr>
            </w:pPr>
            <w:r w:rsidRPr="000E063D">
              <w:rPr>
                <w:rFonts w:ascii="Tw Cen MT" w:hAnsi="Tw Cen MT"/>
              </w:rPr>
              <w:t>0</w:t>
            </w:r>
          </w:p>
        </w:tc>
        <w:tc>
          <w:tcPr>
            <w:tcW w:w="810" w:type="dxa"/>
            <w:vAlign w:val="center"/>
          </w:tcPr>
          <w:p w14:paraId="1FC4293F" w14:textId="2BADCD6E" w:rsidR="00CA302E" w:rsidRPr="000E063D" w:rsidRDefault="00DE223E" w:rsidP="003E2DCF">
            <w:pPr>
              <w:pStyle w:val="TableText"/>
              <w:rPr>
                <w:rFonts w:ascii="Tw Cen MT" w:hAnsi="Tw Cen MT"/>
              </w:rPr>
            </w:pPr>
            <w:r w:rsidRPr="000E063D">
              <w:rPr>
                <w:rFonts w:ascii="Tw Cen MT" w:hAnsi="Tw Cen MT"/>
              </w:rPr>
              <w:t>1</w:t>
            </w:r>
          </w:p>
        </w:tc>
        <w:tc>
          <w:tcPr>
            <w:tcW w:w="895" w:type="dxa"/>
          </w:tcPr>
          <w:p w14:paraId="436F076A" w14:textId="45AEC4CC" w:rsidR="00CA302E" w:rsidRPr="000E063D" w:rsidRDefault="00DE223E" w:rsidP="003E2DCF">
            <w:pPr>
              <w:pStyle w:val="TableText"/>
              <w:rPr>
                <w:rFonts w:ascii="Tw Cen MT" w:hAnsi="Tw Cen MT"/>
              </w:rPr>
            </w:pPr>
            <w:r w:rsidRPr="000E063D">
              <w:rPr>
                <w:rFonts w:ascii="Tw Cen MT" w:hAnsi="Tw Cen MT"/>
              </w:rPr>
              <w:t>0</w:t>
            </w:r>
          </w:p>
        </w:tc>
        <w:tc>
          <w:tcPr>
            <w:tcW w:w="1161" w:type="dxa"/>
            <w:vAlign w:val="center"/>
          </w:tcPr>
          <w:p w14:paraId="157C49D3" w14:textId="64FD0C76" w:rsidR="00CA302E" w:rsidRPr="000E063D" w:rsidRDefault="00DE223E" w:rsidP="003E2DCF">
            <w:pPr>
              <w:pStyle w:val="TableText"/>
              <w:rPr>
                <w:rFonts w:ascii="Tw Cen MT" w:hAnsi="Tw Cen MT"/>
              </w:rPr>
            </w:pPr>
            <w:r w:rsidRPr="000E063D">
              <w:rPr>
                <w:rFonts w:ascii="Tw Cen MT" w:hAnsi="Tw Cen MT"/>
              </w:rPr>
              <w:t>54</w:t>
            </w:r>
          </w:p>
        </w:tc>
      </w:tr>
      <w:tr w:rsidR="00CA302E" w:rsidRPr="000E063D" w14:paraId="6BA518EA" w14:textId="77777777" w:rsidTr="00062C37">
        <w:trPr>
          <w:jc w:val="center"/>
        </w:trPr>
        <w:tc>
          <w:tcPr>
            <w:tcW w:w="810" w:type="dxa"/>
            <w:vAlign w:val="center"/>
          </w:tcPr>
          <w:p w14:paraId="248FED26" w14:textId="77777777" w:rsidR="00CA302E" w:rsidRPr="000E063D" w:rsidRDefault="00CA302E" w:rsidP="003E2DCF">
            <w:pPr>
              <w:pStyle w:val="TableText"/>
              <w:rPr>
                <w:rFonts w:ascii="Tw Cen MT" w:hAnsi="Tw Cen MT"/>
              </w:rPr>
            </w:pPr>
            <w:r w:rsidRPr="000E063D">
              <w:rPr>
                <w:rFonts w:ascii="Tw Cen MT" w:hAnsi="Tw Cen MT"/>
              </w:rPr>
              <w:t>5</w:t>
            </w:r>
          </w:p>
        </w:tc>
        <w:tc>
          <w:tcPr>
            <w:tcW w:w="990" w:type="dxa"/>
            <w:shd w:val="clear" w:color="auto" w:fill="000000" w:themeFill="text1"/>
            <w:vAlign w:val="center"/>
          </w:tcPr>
          <w:p w14:paraId="40897F08"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75DB2088"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727BFE4F"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19D8151D" w14:textId="77777777" w:rsidR="00CA302E" w:rsidRPr="000E063D" w:rsidRDefault="00CA302E" w:rsidP="003E2DCF">
            <w:pPr>
              <w:pStyle w:val="TableText"/>
              <w:rPr>
                <w:rFonts w:ascii="Tw Cen MT" w:hAnsi="Tw Cen MT"/>
              </w:rPr>
            </w:pPr>
          </w:p>
        </w:tc>
        <w:tc>
          <w:tcPr>
            <w:tcW w:w="895" w:type="dxa"/>
            <w:shd w:val="clear" w:color="auto" w:fill="000000" w:themeFill="text1"/>
          </w:tcPr>
          <w:p w14:paraId="11AEA91E" w14:textId="77777777" w:rsidR="00CA302E" w:rsidRPr="000E063D" w:rsidRDefault="00CA302E" w:rsidP="003E2DCF">
            <w:pPr>
              <w:pStyle w:val="TableText"/>
              <w:rPr>
                <w:rFonts w:ascii="Tw Cen MT" w:hAnsi="Tw Cen MT"/>
              </w:rPr>
            </w:pPr>
          </w:p>
        </w:tc>
        <w:tc>
          <w:tcPr>
            <w:tcW w:w="1161" w:type="dxa"/>
            <w:shd w:val="clear" w:color="auto" w:fill="000000" w:themeFill="text1"/>
            <w:vAlign w:val="center"/>
          </w:tcPr>
          <w:p w14:paraId="749AA47C" w14:textId="77777777" w:rsidR="00CA302E" w:rsidRPr="000E063D" w:rsidRDefault="00CA302E" w:rsidP="003E2DCF">
            <w:pPr>
              <w:pStyle w:val="TableText"/>
              <w:rPr>
                <w:rFonts w:ascii="Tw Cen MT" w:hAnsi="Tw Cen MT"/>
              </w:rPr>
            </w:pPr>
          </w:p>
        </w:tc>
      </w:tr>
      <w:tr w:rsidR="00CA302E" w:rsidRPr="000E063D" w14:paraId="1A0352B3" w14:textId="77777777" w:rsidTr="00062C37">
        <w:trPr>
          <w:jc w:val="center"/>
        </w:trPr>
        <w:tc>
          <w:tcPr>
            <w:tcW w:w="810" w:type="dxa"/>
            <w:vAlign w:val="center"/>
          </w:tcPr>
          <w:p w14:paraId="37B9AA31" w14:textId="77777777" w:rsidR="00CA302E" w:rsidRPr="000E063D" w:rsidRDefault="00CA302E" w:rsidP="003E2DCF">
            <w:pPr>
              <w:pStyle w:val="TableText"/>
              <w:rPr>
                <w:rFonts w:ascii="Tw Cen MT" w:hAnsi="Tw Cen MT"/>
              </w:rPr>
            </w:pPr>
            <w:r w:rsidRPr="000E063D">
              <w:rPr>
                <w:rFonts w:ascii="Tw Cen MT" w:hAnsi="Tw Cen MT"/>
              </w:rPr>
              <w:t>6</w:t>
            </w:r>
          </w:p>
        </w:tc>
        <w:tc>
          <w:tcPr>
            <w:tcW w:w="990" w:type="dxa"/>
            <w:shd w:val="clear" w:color="auto" w:fill="000000" w:themeFill="text1"/>
            <w:vAlign w:val="center"/>
          </w:tcPr>
          <w:p w14:paraId="68C2E3E7"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17AE0769"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0A5F0F9B"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7BE65338" w14:textId="77777777" w:rsidR="00CA302E" w:rsidRPr="000E063D" w:rsidRDefault="00CA302E" w:rsidP="003E2DCF">
            <w:pPr>
              <w:pStyle w:val="TableText"/>
              <w:rPr>
                <w:rFonts w:ascii="Tw Cen MT" w:hAnsi="Tw Cen MT"/>
              </w:rPr>
            </w:pPr>
          </w:p>
        </w:tc>
        <w:tc>
          <w:tcPr>
            <w:tcW w:w="895" w:type="dxa"/>
            <w:shd w:val="clear" w:color="auto" w:fill="000000" w:themeFill="text1"/>
          </w:tcPr>
          <w:p w14:paraId="4E138819" w14:textId="77777777" w:rsidR="00CA302E" w:rsidRPr="000E063D" w:rsidRDefault="00CA302E" w:rsidP="003E2DCF">
            <w:pPr>
              <w:pStyle w:val="TableText"/>
              <w:rPr>
                <w:rFonts w:ascii="Tw Cen MT" w:hAnsi="Tw Cen MT"/>
              </w:rPr>
            </w:pPr>
          </w:p>
        </w:tc>
        <w:tc>
          <w:tcPr>
            <w:tcW w:w="1161" w:type="dxa"/>
            <w:shd w:val="clear" w:color="auto" w:fill="000000" w:themeFill="text1"/>
            <w:vAlign w:val="center"/>
          </w:tcPr>
          <w:p w14:paraId="5E59118E" w14:textId="77777777" w:rsidR="00CA302E" w:rsidRPr="000E063D" w:rsidRDefault="00CA302E" w:rsidP="003E2DCF">
            <w:pPr>
              <w:pStyle w:val="TableText"/>
              <w:rPr>
                <w:rFonts w:ascii="Tw Cen MT" w:hAnsi="Tw Cen MT"/>
              </w:rPr>
            </w:pPr>
          </w:p>
        </w:tc>
      </w:tr>
      <w:tr w:rsidR="00CA302E" w:rsidRPr="000E063D" w14:paraId="77E4F931" w14:textId="77777777" w:rsidTr="00062C37">
        <w:trPr>
          <w:jc w:val="center"/>
        </w:trPr>
        <w:tc>
          <w:tcPr>
            <w:tcW w:w="810" w:type="dxa"/>
            <w:vAlign w:val="center"/>
          </w:tcPr>
          <w:p w14:paraId="0C8855E7" w14:textId="77777777" w:rsidR="00CA302E" w:rsidRPr="000E063D" w:rsidRDefault="00CA302E" w:rsidP="003E2DCF">
            <w:pPr>
              <w:pStyle w:val="TableText"/>
              <w:rPr>
                <w:rFonts w:ascii="Tw Cen MT" w:hAnsi="Tw Cen MT"/>
              </w:rPr>
            </w:pPr>
            <w:r w:rsidRPr="000E063D">
              <w:rPr>
                <w:rFonts w:ascii="Tw Cen MT" w:hAnsi="Tw Cen MT"/>
              </w:rPr>
              <w:t>7</w:t>
            </w:r>
          </w:p>
        </w:tc>
        <w:tc>
          <w:tcPr>
            <w:tcW w:w="990" w:type="dxa"/>
            <w:shd w:val="clear" w:color="auto" w:fill="000000" w:themeFill="text1"/>
            <w:vAlign w:val="center"/>
          </w:tcPr>
          <w:p w14:paraId="65542D39"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6957C749"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678524B7" w14:textId="77777777" w:rsidR="00CA302E" w:rsidRPr="000E063D" w:rsidRDefault="00CA302E" w:rsidP="003E2DCF">
            <w:pPr>
              <w:pStyle w:val="TableText"/>
              <w:rPr>
                <w:rFonts w:ascii="Tw Cen MT" w:hAnsi="Tw Cen MT"/>
              </w:rPr>
            </w:pPr>
          </w:p>
        </w:tc>
        <w:tc>
          <w:tcPr>
            <w:tcW w:w="810" w:type="dxa"/>
            <w:shd w:val="clear" w:color="auto" w:fill="000000" w:themeFill="text1"/>
            <w:vAlign w:val="center"/>
          </w:tcPr>
          <w:p w14:paraId="79DE8194" w14:textId="77777777" w:rsidR="00CA302E" w:rsidRPr="000E063D" w:rsidRDefault="00CA302E" w:rsidP="003E2DCF">
            <w:pPr>
              <w:pStyle w:val="TableText"/>
              <w:rPr>
                <w:rFonts w:ascii="Tw Cen MT" w:hAnsi="Tw Cen MT"/>
              </w:rPr>
            </w:pPr>
          </w:p>
        </w:tc>
        <w:tc>
          <w:tcPr>
            <w:tcW w:w="895" w:type="dxa"/>
            <w:shd w:val="clear" w:color="auto" w:fill="000000" w:themeFill="text1"/>
          </w:tcPr>
          <w:p w14:paraId="681E09B1" w14:textId="77777777" w:rsidR="00CA302E" w:rsidRPr="000E063D" w:rsidRDefault="00CA302E" w:rsidP="003E2DCF">
            <w:pPr>
              <w:pStyle w:val="TableText"/>
              <w:rPr>
                <w:rFonts w:ascii="Tw Cen MT" w:hAnsi="Tw Cen MT"/>
              </w:rPr>
            </w:pPr>
          </w:p>
        </w:tc>
        <w:tc>
          <w:tcPr>
            <w:tcW w:w="1161" w:type="dxa"/>
            <w:shd w:val="clear" w:color="auto" w:fill="000000" w:themeFill="text1"/>
            <w:vAlign w:val="center"/>
          </w:tcPr>
          <w:p w14:paraId="6366C01D" w14:textId="77777777" w:rsidR="00CA302E" w:rsidRPr="000E063D" w:rsidRDefault="00CA302E" w:rsidP="003E2DCF">
            <w:pPr>
              <w:pStyle w:val="TableText"/>
              <w:rPr>
                <w:rFonts w:ascii="Tw Cen MT" w:hAnsi="Tw Cen MT"/>
              </w:rPr>
            </w:pPr>
          </w:p>
        </w:tc>
      </w:tr>
      <w:tr w:rsidR="00CA302E" w:rsidRPr="000E063D" w14:paraId="0C4EF2C3" w14:textId="77777777" w:rsidTr="00062C37">
        <w:trPr>
          <w:jc w:val="center"/>
        </w:trPr>
        <w:tc>
          <w:tcPr>
            <w:tcW w:w="810" w:type="dxa"/>
            <w:tcBorders>
              <w:bottom w:val="double" w:sz="4" w:space="0" w:color="auto"/>
            </w:tcBorders>
            <w:vAlign w:val="center"/>
          </w:tcPr>
          <w:p w14:paraId="2638B2C8" w14:textId="77777777" w:rsidR="00CA302E" w:rsidRPr="000E063D" w:rsidRDefault="00CA302E" w:rsidP="003E2DCF">
            <w:pPr>
              <w:pStyle w:val="TableText"/>
              <w:rPr>
                <w:rFonts w:ascii="Tw Cen MT" w:hAnsi="Tw Cen MT"/>
              </w:rPr>
            </w:pPr>
            <w:r w:rsidRPr="000E063D">
              <w:rPr>
                <w:rFonts w:ascii="Tw Cen MT" w:hAnsi="Tw Cen MT"/>
              </w:rPr>
              <w:t>8</w:t>
            </w:r>
          </w:p>
        </w:tc>
        <w:tc>
          <w:tcPr>
            <w:tcW w:w="990" w:type="dxa"/>
            <w:tcBorders>
              <w:bottom w:val="double" w:sz="4" w:space="0" w:color="auto"/>
            </w:tcBorders>
            <w:shd w:val="clear" w:color="auto" w:fill="000000" w:themeFill="text1"/>
            <w:vAlign w:val="center"/>
          </w:tcPr>
          <w:p w14:paraId="682F5E5F" w14:textId="77777777" w:rsidR="00CA302E" w:rsidRPr="000E063D" w:rsidRDefault="00CA302E" w:rsidP="003E2DCF">
            <w:pPr>
              <w:pStyle w:val="TableText"/>
              <w:rPr>
                <w:rFonts w:ascii="Tw Cen MT" w:hAnsi="Tw Cen MT"/>
              </w:rPr>
            </w:pPr>
          </w:p>
        </w:tc>
        <w:tc>
          <w:tcPr>
            <w:tcW w:w="810" w:type="dxa"/>
            <w:tcBorders>
              <w:bottom w:val="double" w:sz="4" w:space="0" w:color="auto"/>
            </w:tcBorders>
            <w:shd w:val="clear" w:color="auto" w:fill="000000" w:themeFill="text1"/>
            <w:vAlign w:val="center"/>
          </w:tcPr>
          <w:p w14:paraId="7C4459CB" w14:textId="77777777" w:rsidR="00CA302E" w:rsidRPr="000E063D" w:rsidRDefault="00CA302E" w:rsidP="003E2DCF">
            <w:pPr>
              <w:pStyle w:val="TableText"/>
              <w:rPr>
                <w:rFonts w:ascii="Tw Cen MT" w:hAnsi="Tw Cen MT"/>
              </w:rPr>
            </w:pPr>
          </w:p>
        </w:tc>
        <w:tc>
          <w:tcPr>
            <w:tcW w:w="810" w:type="dxa"/>
            <w:tcBorders>
              <w:bottom w:val="double" w:sz="4" w:space="0" w:color="auto"/>
            </w:tcBorders>
            <w:shd w:val="clear" w:color="auto" w:fill="000000" w:themeFill="text1"/>
            <w:vAlign w:val="center"/>
          </w:tcPr>
          <w:p w14:paraId="6535C78A" w14:textId="77777777" w:rsidR="00CA302E" w:rsidRPr="000E063D" w:rsidRDefault="00CA302E" w:rsidP="003E2DCF">
            <w:pPr>
              <w:pStyle w:val="TableText"/>
              <w:rPr>
                <w:rFonts w:ascii="Tw Cen MT" w:hAnsi="Tw Cen MT"/>
              </w:rPr>
            </w:pPr>
          </w:p>
        </w:tc>
        <w:tc>
          <w:tcPr>
            <w:tcW w:w="810" w:type="dxa"/>
            <w:tcBorders>
              <w:bottom w:val="double" w:sz="4" w:space="0" w:color="auto"/>
            </w:tcBorders>
            <w:shd w:val="clear" w:color="auto" w:fill="000000" w:themeFill="text1"/>
            <w:vAlign w:val="center"/>
          </w:tcPr>
          <w:p w14:paraId="5B34F0A4" w14:textId="77777777" w:rsidR="00CA302E" w:rsidRPr="000E063D" w:rsidRDefault="00CA302E" w:rsidP="003E2DCF">
            <w:pPr>
              <w:pStyle w:val="TableText"/>
              <w:rPr>
                <w:rFonts w:ascii="Tw Cen MT" w:hAnsi="Tw Cen MT"/>
              </w:rPr>
            </w:pPr>
          </w:p>
        </w:tc>
        <w:tc>
          <w:tcPr>
            <w:tcW w:w="895" w:type="dxa"/>
            <w:tcBorders>
              <w:bottom w:val="double" w:sz="4" w:space="0" w:color="auto"/>
            </w:tcBorders>
            <w:shd w:val="clear" w:color="auto" w:fill="000000" w:themeFill="text1"/>
          </w:tcPr>
          <w:p w14:paraId="1900B8EB" w14:textId="77777777" w:rsidR="00CA302E" w:rsidRPr="000E063D" w:rsidRDefault="00CA302E" w:rsidP="003E2DCF">
            <w:pPr>
              <w:pStyle w:val="TableText"/>
              <w:rPr>
                <w:rFonts w:ascii="Tw Cen MT" w:hAnsi="Tw Cen MT"/>
              </w:rPr>
            </w:pPr>
          </w:p>
        </w:tc>
        <w:tc>
          <w:tcPr>
            <w:tcW w:w="1161" w:type="dxa"/>
            <w:tcBorders>
              <w:bottom w:val="double" w:sz="4" w:space="0" w:color="auto"/>
            </w:tcBorders>
            <w:shd w:val="clear" w:color="auto" w:fill="000000" w:themeFill="text1"/>
            <w:vAlign w:val="center"/>
          </w:tcPr>
          <w:p w14:paraId="4BC2D414" w14:textId="77777777" w:rsidR="00CA302E" w:rsidRPr="000E063D" w:rsidRDefault="00CA302E" w:rsidP="003E2DCF">
            <w:pPr>
              <w:pStyle w:val="TableText"/>
              <w:rPr>
                <w:rFonts w:ascii="Tw Cen MT" w:hAnsi="Tw Cen MT"/>
              </w:rPr>
            </w:pPr>
          </w:p>
        </w:tc>
      </w:tr>
      <w:tr w:rsidR="00CA302E" w:rsidRPr="000E063D" w14:paraId="5A7505FA" w14:textId="77777777" w:rsidTr="003E2DCF">
        <w:trPr>
          <w:jc w:val="center"/>
        </w:trPr>
        <w:tc>
          <w:tcPr>
            <w:tcW w:w="810" w:type="dxa"/>
            <w:tcBorders>
              <w:top w:val="double" w:sz="4" w:space="0" w:color="auto"/>
              <w:bottom w:val="double" w:sz="4" w:space="0" w:color="auto"/>
            </w:tcBorders>
            <w:vAlign w:val="center"/>
          </w:tcPr>
          <w:p w14:paraId="4BC3E11B" w14:textId="77777777" w:rsidR="00CA302E" w:rsidRPr="000E063D" w:rsidRDefault="00CA302E" w:rsidP="003E2DCF">
            <w:pPr>
              <w:pStyle w:val="TableText"/>
              <w:rPr>
                <w:rFonts w:ascii="Tw Cen MT" w:hAnsi="Tw Cen MT"/>
              </w:rPr>
            </w:pPr>
            <w:r w:rsidRPr="000E063D">
              <w:rPr>
                <w:rFonts w:ascii="Tw Cen MT" w:hAnsi="Tw Cen MT"/>
              </w:rPr>
              <w:t>All</w:t>
            </w:r>
          </w:p>
        </w:tc>
        <w:tc>
          <w:tcPr>
            <w:tcW w:w="990" w:type="dxa"/>
            <w:tcBorders>
              <w:top w:val="double" w:sz="4" w:space="0" w:color="auto"/>
              <w:bottom w:val="double" w:sz="4" w:space="0" w:color="auto"/>
            </w:tcBorders>
            <w:vAlign w:val="center"/>
          </w:tcPr>
          <w:p w14:paraId="349FA07A" w14:textId="759DACD3" w:rsidR="00CA302E" w:rsidRPr="000E063D" w:rsidRDefault="00062C37" w:rsidP="003E2DCF">
            <w:pPr>
              <w:pStyle w:val="TableText"/>
              <w:rPr>
                <w:rFonts w:ascii="Tw Cen MT" w:hAnsi="Tw Cen MT"/>
              </w:rPr>
            </w:pPr>
            <w:r w:rsidRPr="000E063D">
              <w:rPr>
                <w:rFonts w:ascii="Tw Cen MT" w:hAnsi="Tw Cen MT"/>
              </w:rPr>
              <w:t>105</w:t>
            </w:r>
          </w:p>
        </w:tc>
        <w:tc>
          <w:tcPr>
            <w:tcW w:w="810" w:type="dxa"/>
            <w:tcBorders>
              <w:top w:val="double" w:sz="4" w:space="0" w:color="auto"/>
              <w:bottom w:val="double" w:sz="4" w:space="0" w:color="auto"/>
            </w:tcBorders>
            <w:vAlign w:val="center"/>
          </w:tcPr>
          <w:p w14:paraId="6ADC2FBA" w14:textId="3CFC22CC" w:rsidR="00CA302E" w:rsidRPr="000E063D" w:rsidRDefault="00062C37" w:rsidP="003E2DCF">
            <w:pPr>
              <w:pStyle w:val="TableText"/>
              <w:rPr>
                <w:rFonts w:ascii="Tw Cen MT" w:hAnsi="Tw Cen MT"/>
              </w:rPr>
            </w:pPr>
            <w:r w:rsidRPr="000E063D">
              <w:rPr>
                <w:rFonts w:ascii="Tw Cen MT" w:hAnsi="Tw Cen MT"/>
              </w:rPr>
              <w:t>0</w:t>
            </w:r>
          </w:p>
        </w:tc>
        <w:tc>
          <w:tcPr>
            <w:tcW w:w="810" w:type="dxa"/>
            <w:tcBorders>
              <w:top w:val="double" w:sz="4" w:space="0" w:color="auto"/>
              <w:bottom w:val="double" w:sz="4" w:space="0" w:color="auto"/>
            </w:tcBorders>
            <w:vAlign w:val="center"/>
          </w:tcPr>
          <w:p w14:paraId="1C1FD062" w14:textId="2FCFC799" w:rsidR="00CA302E" w:rsidRPr="000E063D" w:rsidRDefault="00062C37" w:rsidP="003E2DCF">
            <w:pPr>
              <w:pStyle w:val="TableText"/>
              <w:rPr>
                <w:rFonts w:ascii="Tw Cen MT" w:hAnsi="Tw Cen MT"/>
              </w:rPr>
            </w:pPr>
            <w:r w:rsidRPr="000E063D">
              <w:rPr>
                <w:rFonts w:ascii="Tw Cen MT" w:hAnsi="Tw Cen MT"/>
              </w:rPr>
              <w:t>0</w:t>
            </w:r>
          </w:p>
        </w:tc>
        <w:tc>
          <w:tcPr>
            <w:tcW w:w="810" w:type="dxa"/>
            <w:tcBorders>
              <w:top w:val="double" w:sz="4" w:space="0" w:color="auto"/>
              <w:bottom w:val="double" w:sz="4" w:space="0" w:color="auto"/>
            </w:tcBorders>
            <w:vAlign w:val="center"/>
          </w:tcPr>
          <w:p w14:paraId="0B8A02F7" w14:textId="51290A1A" w:rsidR="00CA302E" w:rsidRPr="000E063D" w:rsidRDefault="00062C37" w:rsidP="003E2DCF">
            <w:pPr>
              <w:pStyle w:val="TableText"/>
              <w:rPr>
                <w:rFonts w:ascii="Tw Cen MT" w:hAnsi="Tw Cen MT"/>
              </w:rPr>
            </w:pPr>
            <w:r w:rsidRPr="000E063D">
              <w:rPr>
                <w:rFonts w:ascii="Tw Cen MT" w:hAnsi="Tw Cen MT"/>
              </w:rPr>
              <w:t>3</w:t>
            </w:r>
          </w:p>
        </w:tc>
        <w:tc>
          <w:tcPr>
            <w:tcW w:w="895" w:type="dxa"/>
            <w:tcBorders>
              <w:top w:val="double" w:sz="4" w:space="0" w:color="auto"/>
              <w:bottom w:val="double" w:sz="4" w:space="0" w:color="auto"/>
            </w:tcBorders>
          </w:tcPr>
          <w:p w14:paraId="48A07C85" w14:textId="2E757943" w:rsidR="00CA302E" w:rsidRPr="000E063D" w:rsidRDefault="00062C37" w:rsidP="003E2DCF">
            <w:pPr>
              <w:pStyle w:val="TableText"/>
              <w:rPr>
                <w:rFonts w:ascii="Tw Cen MT" w:hAnsi="Tw Cen MT"/>
              </w:rPr>
            </w:pPr>
            <w:r w:rsidRPr="000E063D">
              <w:rPr>
                <w:rFonts w:ascii="Tw Cen MT" w:hAnsi="Tw Cen MT"/>
              </w:rPr>
              <w:t>1</w:t>
            </w:r>
          </w:p>
        </w:tc>
        <w:tc>
          <w:tcPr>
            <w:tcW w:w="1161" w:type="dxa"/>
            <w:tcBorders>
              <w:top w:val="double" w:sz="4" w:space="0" w:color="auto"/>
              <w:bottom w:val="double" w:sz="4" w:space="0" w:color="auto"/>
            </w:tcBorders>
            <w:vAlign w:val="center"/>
          </w:tcPr>
          <w:p w14:paraId="4FD5DC66" w14:textId="5E526DC4" w:rsidR="00CA302E" w:rsidRPr="000E063D" w:rsidRDefault="00062C37" w:rsidP="003E2DCF">
            <w:pPr>
              <w:pStyle w:val="TableText"/>
              <w:rPr>
                <w:rFonts w:ascii="Tw Cen MT" w:hAnsi="Tw Cen MT"/>
              </w:rPr>
            </w:pPr>
            <w:r w:rsidRPr="000E063D">
              <w:rPr>
                <w:rFonts w:ascii="Tw Cen MT" w:hAnsi="Tw Cen MT"/>
              </w:rPr>
              <w:t>109</w:t>
            </w:r>
          </w:p>
        </w:tc>
      </w:tr>
    </w:tbl>
    <w:p w14:paraId="56732841" w14:textId="77777777" w:rsidR="00CA302E" w:rsidRPr="000E063D" w:rsidRDefault="00CA302E" w:rsidP="00CA302E">
      <w:pPr>
        <w:pStyle w:val="Heading2"/>
        <w:rPr>
          <w:rFonts w:ascii="Tw Cen MT" w:hAnsi="Tw Cen MT"/>
        </w:rPr>
      </w:pPr>
      <w:r w:rsidRPr="000E063D">
        <w:rPr>
          <w:rFonts w:ascii="Tw Cen MT" w:hAnsi="Tw Cen MT"/>
        </w:rPr>
        <w:t>Results and evaluation</w:t>
      </w:r>
    </w:p>
    <w:p w14:paraId="1F6E4C5B" w14:textId="02D0FB41" w:rsidR="00311100" w:rsidRDefault="00311100" w:rsidP="00311100">
      <w:pPr>
        <w:jc w:val="both"/>
        <w:rPr>
          <w:rFonts w:ascii="Tw Cen MT" w:hAnsi="Tw Cen MT"/>
          <w:szCs w:val="23"/>
          <w:highlight w:val="lightGray"/>
        </w:rPr>
      </w:pPr>
      <w:r w:rsidRPr="007F6234">
        <w:rPr>
          <w:rFonts w:ascii="Tw Cen MT" w:hAnsi="Tw Cen MT"/>
          <w:szCs w:val="23"/>
        </w:rPr>
        <w:t xml:space="preserve">As a school that only just completed its fourth year of operation, this was our first year that scholars sat the full state assessment in </w:t>
      </w:r>
      <w:r>
        <w:rPr>
          <w:rFonts w:ascii="Tw Cen MT" w:hAnsi="Tw Cen MT"/>
          <w:szCs w:val="23"/>
        </w:rPr>
        <w:t>Mathematics</w:t>
      </w:r>
      <w:r w:rsidRPr="007F6234">
        <w:rPr>
          <w:rFonts w:ascii="Tw Cen MT" w:hAnsi="Tw Cen MT"/>
          <w:szCs w:val="23"/>
        </w:rPr>
        <w:t xml:space="preserve">.  Given the tumultuous learning environment over the past two years, and the unfinished learning created by COVID-19, our scholars were far from meeting our </w:t>
      </w:r>
      <w:proofErr w:type="gramStart"/>
      <w:r w:rsidR="00E432D8">
        <w:rPr>
          <w:rFonts w:ascii="Tw Cen MT" w:hAnsi="Tw Cen MT"/>
          <w:szCs w:val="23"/>
        </w:rPr>
        <w:t>Math</w:t>
      </w:r>
      <w:proofErr w:type="gramEnd"/>
      <w:r w:rsidRPr="007F6234">
        <w:rPr>
          <w:rFonts w:ascii="Tw Cen MT" w:hAnsi="Tw Cen MT"/>
          <w:szCs w:val="23"/>
        </w:rPr>
        <w:t xml:space="preserve"> proficiency goals</w:t>
      </w:r>
      <w:r w:rsidR="00E432D8">
        <w:rPr>
          <w:rFonts w:ascii="Tw Cen MT" w:hAnsi="Tw Cen MT"/>
          <w:szCs w:val="23"/>
        </w:rPr>
        <w:t>, as measured by the state assessment</w:t>
      </w:r>
      <w:r w:rsidRPr="007F6234">
        <w:rPr>
          <w:rFonts w:ascii="Tw Cen MT" w:hAnsi="Tw Cen MT"/>
          <w:szCs w:val="23"/>
        </w:rPr>
        <w:t xml:space="preserve">. </w:t>
      </w:r>
      <w:r>
        <w:rPr>
          <w:rFonts w:ascii="Tw Cen MT" w:hAnsi="Tw Cen MT"/>
          <w:szCs w:val="23"/>
        </w:rPr>
        <w:t xml:space="preserve"> The scholars in 3</w:t>
      </w:r>
      <w:r w:rsidRPr="007F6234">
        <w:rPr>
          <w:rFonts w:ascii="Tw Cen MT" w:hAnsi="Tw Cen MT"/>
          <w:szCs w:val="23"/>
          <w:vertAlign w:val="superscript"/>
        </w:rPr>
        <w:t>rd</w:t>
      </w:r>
      <w:r>
        <w:rPr>
          <w:rFonts w:ascii="Tw Cen MT" w:hAnsi="Tw Cen MT"/>
          <w:szCs w:val="23"/>
        </w:rPr>
        <w:t xml:space="preserve"> and 4</w:t>
      </w:r>
      <w:r w:rsidRPr="007F6234">
        <w:rPr>
          <w:rFonts w:ascii="Tw Cen MT" w:hAnsi="Tw Cen MT"/>
          <w:szCs w:val="23"/>
          <w:vertAlign w:val="superscript"/>
        </w:rPr>
        <w:t>th</w:t>
      </w:r>
      <w:r>
        <w:rPr>
          <w:rFonts w:ascii="Tw Cen MT" w:hAnsi="Tw Cen MT"/>
          <w:szCs w:val="23"/>
        </w:rPr>
        <w:t xml:space="preserve"> grade are our founding scholars, majority of whom have been with us since our inception.  Over the course of their time with us, we have made significant improvements to our academic program that are impacting </w:t>
      </w:r>
      <w:proofErr w:type="gramStart"/>
      <w:r>
        <w:rPr>
          <w:rFonts w:ascii="Tw Cen MT" w:hAnsi="Tw Cen MT"/>
          <w:szCs w:val="23"/>
        </w:rPr>
        <w:t>positive growth</w:t>
      </w:r>
      <w:proofErr w:type="gramEnd"/>
      <w:r w:rsidR="00E432D8">
        <w:rPr>
          <w:rFonts w:ascii="Tw Cen MT" w:hAnsi="Tw Cen MT"/>
          <w:szCs w:val="23"/>
        </w:rPr>
        <w:t xml:space="preserve"> over time</w:t>
      </w:r>
      <w:r>
        <w:rPr>
          <w:rFonts w:ascii="Tw Cen MT" w:hAnsi="Tw Cen MT"/>
          <w:szCs w:val="23"/>
        </w:rPr>
        <w:t xml:space="preserve">.  We see the greatest evidence of this in their NWEA MAP scores (provided below) and know that our shifts and changes are helping close the wide academic gaps that exist.  We are far from pleased with our absolute results on the state assessment this </w:t>
      </w:r>
      <w:proofErr w:type="gramStart"/>
      <w:r>
        <w:rPr>
          <w:rFonts w:ascii="Tw Cen MT" w:hAnsi="Tw Cen MT"/>
          <w:szCs w:val="23"/>
        </w:rPr>
        <w:t>year, but</w:t>
      </w:r>
      <w:proofErr w:type="gramEnd"/>
      <w:r>
        <w:rPr>
          <w:rFonts w:ascii="Tw Cen MT" w:hAnsi="Tw Cen MT"/>
          <w:szCs w:val="23"/>
        </w:rPr>
        <w:t xml:space="preserve"> remain confident in the shifts we are making in our academic program.  We </w:t>
      </w:r>
      <w:r w:rsidR="00AA1FE0">
        <w:rPr>
          <w:rFonts w:ascii="Tw Cen MT" w:hAnsi="Tw Cen MT"/>
          <w:szCs w:val="23"/>
        </w:rPr>
        <w:t xml:space="preserve">have more scholars testing at a level 1 in mathematics than we do in ELA, making math instruction a </w:t>
      </w:r>
      <w:r w:rsidR="00B604D1">
        <w:rPr>
          <w:rFonts w:ascii="Tw Cen MT" w:hAnsi="Tw Cen MT"/>
          <w:szCs w:val="23"/>
        </w:rPr>
        <w:t xml:space="preserve">prioritized focus for the year ahead (more information on our professional development plan and curricular shifts included in the action plan section). </w:t>
      </w:r>
      <w:r>
        <w:rPr>
          <w:rFonts w:ascii="Tw Cen MT" w:hAnsi="Tw Cen MT"/>
          <w:szCs w:val="23"/>
        </w:rPr>
        <w:t xml:space="preserve">  </w:t>
      </w:r>
    </w:p>
    <w:p w14:paraId="085F25F3" w14:textId="77777777" w:rsidR="00CA302E" w:rsidRPr="000E063D" w:rsidRDefault="00CA302E" w:rsidP="00CA302E">
      <w:pPr>
        <w:rPr>
          <w:rFonts w:ascii="Tw Cen MT" w:hAnsi="Tw Cen MT"/>
          <w:szCs w:val="23"/>
        </w:rPr>
      </w:pPr>
    </w:p>
    <w:p w14:paraId="453F7DBF" w14:textId="68F0B212" w:rsidR="00CA302E" w:rsidRPr="000E063D" w:rsidRDefault="00CA302E" w:rsidP="00CA302E">
      <w:pPr>
        <w:pStyle w:val="TableHeader"/>
        <w:rPr>
          <w:rFonts w:ascii="Tw Cen MT" w:hAnsi="Tw Cen MT"/>
        </w:rPr>
      </w:pPr>
      <w:r w:rsidRPr="000E063D">
        <w:rPr>
          <w:rFonts w:ascii="Tw Cen MT" w:hAnsi="Tw Cen MT"/>
        </w:rPr>
        <w:t xml:space="preserve">Performance on 2021-22 State </w:t>
      </w:r>
      <w:r w:rsidR="0024329C" w:rsidRPr="000E063D">
        <w:rPr>
          <w:rFonts w:ascii="Tw Cen MT" w:hAnsi="Tw Cen MT"/>
        </w:rPr>
        <w:t xml:space="preserve">Mathematics </w:t>
      </w:r>
      <w:r w:rsidRPr="000E063D">
        <w:rPr>
          <w:rFonts w:ascii="Tw Cen MT" w:hAnsi="Tw Cen MT"/>
        </w:rPr>
        <w:t>Exam</w:t>
      </w:r>
    </w:p>
    <w:p w14:paraId="2FC7D125" w14:textId="77777777" w:rsidR="00CA302E" w:rsidRPr="000E063D" w:rsidRDefault="00CA302E" w:rsidP="00CA302E">
      <w:pPr>
        <w:pStyle w:val="TableHeader"/>
        <w:rPr>
          <w:rFonts w:ascii="Tw Cen MT" w:hAnsi="Tw Cen MT"/>
        </w:rPr>
      </w:pPr>
      <w:r w:rsidRPr="000E063D">
        <w:rPr>
          <w:rFonts w:ascii="Tw Cen MT" w:hAnsi="Tw Cen MT"/>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8"/>
        <w:gridCol w:w="1409"/>
        <w:gridCol w:w="1223"/>
        <w:gridCol w:w="1350"/>
      </w:tblGrid>
      <w:tr w:rsidR="00CA302E" w:rsidRPr="000E063D" w14:paraId="7B8985EA" w14:textId="77777777" w:rsidTr="003E2DCF">
        <w:trPr>
          <w:cantSplit/>
          <w:trHeight w:val="611"/>
          <w:jc w:val="center"/>
        </w:trPr>
        <w:tc>
          <w:tcPr>
            <w:tcW w:w="827" w:type="dxa"/>
            <w:vMerge w:val="restart"/>
            <w:vAlign w:val="center"/>
          </w:tcPr>
          <w:p w14:paraId="1FAF3A3B" w14:textId="77777777" w:rsidR="00CA302E" w:rsidRPr="000E063D" w:rsidRDefault="00CA302E" w:rsidP="003E2DCF">
            <w:pPr>
              <w:pStyle w:val="TableText"/>
              <w:rPr>
                <w:rFonts w:ascii="Tw Cen MT" w:hAnsi="Tw Cen MT"/>
              </w:rPr>
            </w:pPr>
            <w:r w:rsidRPr="000E063D">
              <w:rPr>
                <w:rFonts w:ascii="Tw Cen MT" w:hAnsi="Tw Cen MT"/>
              </w:rPr>
              <w:t>Grades</w:t>
            </w:r>
          </w:p>
        </w:tc>
        <w:tc>
          <w:tcPr>
            <w:tcW w:w="2827" w:type="dxa"/>
            <w:gridSpan w:val="2"/>
            <w:vAlign w:val="center"/>
          </w:tcPr>
          <w:p w14:paraId="2059AF58" w14:textId="77777777" w:rsidR="00CA302E" w:rsidRPr="000E063D" w:rsidRDefault="00CA302E" w:rsidP="003E2DCF">
            <w:pPr>
              <w:pStyle w:val="TableText"/>
              <w:rPr>
                <w:rFonts w:ascii="Tw Cen MT" w:hAnsi="Tw Cen MT"/>
              </w:rPr>
            </w:pPr>
            <w:r w:rsidRPr="000E063D">
              <w:rPr>
                <w:rFonts w:ascii="Tw Cen MT" w:hAnsi="Tw Cen MT"/>
              </w:rPr>
              <w:t xml:space="preserve">All Students  </w:t>
            </w:r>
          </w:p>
        </w:tc>
        <w:tc>
          <w:tcPr>
            <w:tcW w:w="2573" w:type="dxa"/>
            <w:gridSpan w:val="2"/>
            <w:vAlign w:val="center"/>
          </w:tcPr>
          <w:p w14:paraId="2BA88881" w14:textId="77777777" w:rsidR="00CA302E" w:rsidRPr="000E063D" w:rsidRDefault="00CA302E" w:rsidP="003E2DCF">
            <w:pPr>
              <w:pStyle w:val="TableText"/>
              <w:rPr>
                <w:rFonts w:ascii="Tw Cen MT" w:hAnsi="Tw Cen MT"/>
              </w:rPr>
            </w:pPr>
            <w:r w:rsidRPr="000E063D">
              <w:rPr>
                <w:rFonts w:ascii="Tw Cen MT" w:hAnsi="Tw Cen MT"/>
              </w:rPr>
              <w:t>Enrolled in at least their Second Year</w:t>
            </w:r>
          </w:p>
        </w:tc>
      </w:tr>
      <w:tr w:rsidR="00CA302E" w:rsidRPr="000E063D" w14:paraId="1D529781" w14:textId="77777777" w:rsidTr="003E2DCF">
        <w:trPr>
          <w:cantSplit/>
          <w:trHeight w:val="611"/>
          <w:jc w:val="center"/>
        </w:trPr>
        <w:tc>
          <w:tcPr>
            <w:tcW w:w="827" w:type="dxa"/>
            <w:vMerge/>
            <w:vAlign w:val="center"/>
          </w:tcPr>
          <w:p w14:paraId="65E36608" w14:textId="77777777" w:rsidR="00CA302E" w:rsidRPr="000E063D" w:rsidRDefault="00CA302E" w:rsidP="003E2DCF">
            <w:pPr>
              <w:pStyle w:val="TableText"/>
              <w:rPr>
                <w:rFonts w:ascii="Tw Cen MT" w:hAnsi="Tw Cen MT"/>
              </w:rPr>
            </w:pPr>
          </w:p>
        </w:tc>
        <w:tc>
          <w:tcPr>
            <w:tcW w:w="1418" w:type="dxa"/>
            <w:vAlign w:val="center"/>
          </w:tcPr>
          <w:p w14:paraId="5FCE1CD7" w14:textId="77777777" w:rsidR="00CA302E" w:rsidRPr="000E063D" w:rsidRDefault="00CA302E" w:rsidP="003E2DCF">
            <w:pPr>
              <w:pStyle w:val="TableText"/>
              <w:rPr>
                <w:rFonts w:ascii="Tw Cen MT" w:hAnsi="Tw Cen MT"/>
              </w:rPr>
            </w:pPr>
            <w:r w:rsidRPr="000E063D">
              <w:rPr>
                <w:rFonts w:ascii="Tw Cen MT" w:hAnsi="Tw Cen MT"/>
              </w:rPr>
              <w:t>Percent Proficient</w:t>
            </w:r>
          </w:p>
        </w:tc>
        <w:tc>
          <w:tcPr>
            <w:tcW w:w="1409" w:type="dxa"/>
            <w:vAlign w:val="center"/>
          </w:tcPr>
          <w:p w14:paraId="01355F71" w14:textId="77777777" w:rsidR="00CA302E" w:rsidRPr="000E063D" w:rsidRDefault="00CA302E" w:rsidP="003E2DCF">
            <w:pPr>
              <w:pStyle w:val="TableText"/>
              <w:rPr>
                <w:rFonts w:ascii="Tw Cen MT" w:hAnsi="Tw Cen MT"/>
              </w:rPr>
            </w:pPr>
            <w:r w:rsidRPr="000E063D">
              <w:rPr>
                <w:rFonts w:ascii="Tw Cen MT" w:hAnsi="Tw Cen MT"/>
              </w:rPr>
              <w:t>Number Tested</w:t>
            </w:r>
          </w:p>
        </w:tc>
        <w:tc>
          <w:tcPr>
            <w:tcW w:w="1223" w:type="dxa"/>
            <w:vAlign w:val="center"/>
          </w:tcPr>
          <w:p w14:paraId="779B24C6" w14:textId="77777777" w:rsidR="00CA302E" w:rsidRPr="000E063D" w:rsidRDefault="00CA302E" w:rsidP="003E2DCF">
            <w:pPr>
              <w:pStyle w:val="TableText"/>
              <w:rPr>
                <w:rFonts w:ascii="Tw Cen MT" w:hAnsi="Tw Cen MT"/>
              </w:rPr>
            </w:pPr>
            <w:r w:rsidRPr="000E063D">
              <w:rPr>
                <w:rFonts w:ascii="Tw Cen MT" w:hAnsi="Tw Cen MT"/>
              </w:rPr>
              <w:t>Percent Proficient</w:t>
            </w:r>
          </w:p>
        </w:tc>
        <w:tc>
          <w:tcPr>
            <w:tcW w:w="1350" w:type="dxa"/>
            <w:vAlign w:val="center"/>
          </w:tcPr>
          <w:p w14:paraId="15DEBF03" w14:textId="77777777" w:rsidR="00CA302E" w:rsidRPr="000E063D" w:rsidRDefault="00CA302E" w:rsidP="003E2DCF">
            <w:pPr>
              <w:pStyle w:val="TableText"/>
              <w:rPr>
                <w:rFonts w:ascii="Tw Cen MT" w:hAnsi="Tw Cen MT"/>
              </w:rPr>
            </w:pPr>
            <w:r w:rsidRPr="000E063D">
              <w:rPr>
                <w:rFonts w:ascii="Tw Cen MT" w:hAnsi="Tw Cen MT"/>
              </w:rPr>
              <w:t>Number Tested</w:t>
            </w:r>
          </w:p>
        </w:tc>
      </w:tr>
      <w:tr w:rsidR="00CA302E" w:rsidRPr="000E063D" w14:paraId="0A13C402" w14:textId="77777777" w:rsidTr="003E2DCF">
        <w:trPr>
          <w:cantSplit/>
          <w:trHeight w:val="305"/>
          <w:jc w:val="center"/>
        </w:trPr>
        <w:tc>
          <w:tcPr>
            <w:tcW w:w="827" w:type="dxa"/>
            <w:tcBorders>
              <w:bottom w:val="single" w:sz="4" w:space="0" w:color="auto"/>
            </w:tcBorders>
            <w:vAlign w:val="center"/>
          </w:tcPr>
          <w:p w14:paraId="048AF94C" w14:textId="77777777" w:rsidR="00CA302E" w:rsidRPr="000E063D" w:rsidRDefault="00CA302E" w:rsidP="003E2DCF">
            <w:pPr>
              <w:pStyle w:val="TableText"/>
              <w:rPr>
                <w:rFonts w:ascii="Tw Cen MT" w:hAnsi="Tw Cen MT"/>
              </w:rPr>
            </w:pPr>
            <w:r w:rsidRPr="000E063D">
              <w:rPr>
                <w:rFonts w:ascii="Tw Cen MT" w:hAnsi="Tw Cen MT"/>
              </w:rPr>
              <w:t>3</w:t>
            </w:r>
          </w:p>
        </w:tc>
        <w:tc>
          <w:tcPr>
            <w:tcW w:w="1418" w:type="dxa"/>
            <w:tcBorders>
              <w:bottom w:val="single" w:sz="4" w:space="0" w:color="auto"/>
            </w:tcBorders>
            <w:vAlign w:val="center"/>
          </w:tcPr>
          <w:p w14:paraId="628A8C62" w14:textId="5911B701" w:rsidR="00CA302E" w:rsidRPr="000E063D" w:rsidRDefault="00D34774" w:rsidP="003E2DCF">
            <w:pPr>
              <w:pStyle w:val="TableText"/>
              <w:rPr>
                <w:rFonts w:ascii="Tw Cen MT" w:hAnsi="Tw Cen MT"/>
              </w:rPr>
            </w:pPr>
            <w:r w:rsidRPr="000E063D">
              <w:rPr>
                <w:rFonts w:ascii="Tw Cen MT" w:hAnsi="Tw Cen MT"/>
              </w:rPr>
              <w:t>12%</w:t>
            </w:r>
          </w:p>
        </w:tc>
        <w:tc>
          <w:tcPr>
            <w:tcW w:w="1409" w:type="dxa"/>
            <w:vAlign w:val="center"/>
          </w:tcPr>
          <w:p w14:paraId="78387925" w14:textId="69A8E1DC" w:rsidR="00CA302E" w:rsidRPr="000E063D" w:rsidRDefault="00D34774" w:rsidP="003E2DCF">
            <w:pPr>
              <w:pStyle w:val="TableText"/>
              <w:rPr>
                <w:rFonts w:ascii="Tw Cen MT" w:hAnsi="Tw Cen MT"/>
              </w:rPr>
            </w:pPr>
            <w:r w:rsidRPr="000E063D">
              <w:rPr>
                <w:rFonts w:ascii="Tw Cen MT" w:hAnsi="Tw Cen MT"/>
              </w:rPr>
              <w:t>52</w:t>
            </w:r>
          </w:p>
        </w:tc>
        <w:tc>
          <w:tcPr>
            <w:tcW w:w="1223" w:type="dxa"/>
            <w:vAlign w:val="center"/>
          </w:tcPr>
          <w:p w14:paraId="298C6FB6" w14:textId="01136161" w:rsidR="00CA302E" w:rsidRPr="000E063D" w:rsidRDefault="002245E1" w:rsidP="003E2DCF">
            <w:pPr>
              <w:pStyle w:val="TableText"/>
              <w:rPr>
                <w:rFonts w:ascii="Tw Cen MT" w:hAnsi="Tw Cen MT"/>
              </w:rPr>
            </w:pPr>
            <w:r w:rsidRPr="000E063D">
              <w:rPr>
                <w:rFonts w:ascii="Tw Cen MT" w:hAnsi="Tw Cen MT"/>
              </w:rPr>
              <w:t>12%</w:t>
            </w:r>
          </w:p>
        </w:tc>
        <w:tc>
          <w:tcPr>
            <w:tcW w:w="1350" w:type="dxa"/>
            <w:tcBorders>
              <w:bottom w:val="single" w:sz="4" w:space="0" w:color="auto"/>
            </w:tcBorders>
            <w:vAlign w:val="center"/>
          </w:tcPr>
          <w:p w14:paraId="0BA668EB" w14:textId="036A82EF" w:rsidR="00CA302E" w:rsidRPr="000E063D" w:rsidRDefault="002245E1" w:rsidP="003E2DCF">
            <w:pPr>
              <w:pStyle w:val="TableText"/>
              <w:rPr>
                <w:rFonts w:ascii="Tw Cen MT" w:hAnsi="Tw Cen MT"/>
              </w:rPr>
            </w:pPr>
            <w:r w:rsidRPr="000E063D">
              <w:rPr>
                <w:rFonts w:ascii="Tw Cen MT" w:hAnsi="Tw Cen MT"/>
              </w:rPr>
              <w:t>51</w:t>
            </w:r>
          </w:p>
        </w:tc>
      </w:tr>
      <w:tr w:rsidR="00CA302E" w:rsidRPr="000E063D" w14:paraId="195CB2CF" w14:textId="77777777" w:rsidTr="003E2DCF">
        <w:trPr>
          <w:cantSplit/>
          <w:trHeight w:val="260"/>
          <w:jc w:val="center"/>
        </w:trPr>
        <w:tc>
          <w:tcPr>
            <w:tcW w:w="827" w:type="dxa"/>
            <w:tcBorders>
              <w:bottom w:val="single" w:sz="4" w:space="0" w:color="auto"/>
            </w:tcBorders>
            <w:vAlign w:val="center"/>
          </w:tcPr>
          <w:p w14:paraId="335342E4" w14:textId="77777777" w:rsidR="00CA302E" w:rsidRPr="000E063D" w:rsidRDefault="00CA302E" w:rsidP="003E2DCF">
            <w:pPr>
              <w:pStyle w:val="TableText"/>
              <w:rPr>
                <w:rFonts w:ascii="Tw Cen MT" w:hAnsi="Tw Cen MT"/>
              </w:rPr>
            </w:pPr>
            <w:r w:rsidRPr="000E063D">
              <w:rPr>
                <w:rFonts w:ascii="Tw Cen MT" w:hAnsi="Tw Cen MT"/>
              </w:rPr>
              <w:t>4</w:t>
            </w:r>
          </w:p>
        </w:tc>
        <w:tc>
          <w:tcPr>
            <w:tcW w:w="1418" w:type="dxa"/>
            <w:tcBorders>
              <w:bottom w:val="single" w:sz="4" w:space="0" w:color="auto"/>
            </w:tcBorders>
            <w:vAlign w:val="center"/>
          </w:tcPr>
          <w:p w14:paraId="1C39E738" w14:textId="131FD04C" w:rsidR="00CA302E" w:rsidRPr="000E063D" w:rsidRDefault="00F1036D" w:rsidP="003E2DCF">
            <w:pPr>
              <w:pStyle w:val="TableText"/>
              <w:rPr>
                <w:rFonts w:ascii="Tw Cen MT" w:hAnsi="Tw Cen MT"/>
              </w:rPr>
            </w:pPr>
            <w:r w:rsidRPr="000E063D">
              <w:rPr>
                <w:rFonts w:ascii="Tw Cen MT" w:hAnsi="Tw Cen MT"/>
              </w:rPr>
              <w:t>10%</w:t>
            </w:r>
          </w:p>
        </w:tc>
        <w:tc>
          <w:tcPr>
            <w:tcW w:w="1409" w:type="dxa"/>
            <w:vAlign w:val="center"/>
          </w:tcPr>
          <w:p w14:paraId="74680045" w14:textId="35E1B2E2" w:rsidR="00CA302E" w:rsidRPr="000E063D" w:rsidRDefault="00F1036D" w:rsidP="003E2DCF">
            <w:pPr>
              <w:pStyle w:val="TableText"/>
              <w:rPr>
                <w:rFonts w:ascii="Tw Cen MT" w:hAnsi="Tw Cen MT"/>
              </w:rPr>
            </w:pPr>
            <w:r w:rsidRPr="000E063D">
              <w:rPr>
                <w:rFonts w:ascii="Tw Cen MT" w:hAnsi="Tw Cen MT"/>
              </w:rPr>
              <w:t>53</w:t>
            </w:r>
          </w:p>
        </w:tc>
        <w:tc>
          <w:tcPr>
            <w:tcW w:w="1223" w:type="dxa"/>
            <w:vAlign w:val="center"/>
          </w:tcPr>
          <w:p w14:paraId="54DF485B" w14:textId="60100FC7" w:rsidR="00CA302E" w:rsidRPr="000E063D" w:rsidRDefault="007B37BF" w:rsidP="003E2DCF">
            <w:pPr>
              <w:pStyle w:val="TableText"/>
              <w:rPr>
                <w:rFonts w:ascii="Tw Cen MT" w:hAnsi="Tw Cen MT"/>
              </w:rPr>
            </w:pPr>
            <w:r w:rsidRPr="000E063D">
              <w:rPr>
                <w:rFonts w:ascii="Tw Cen MT" w:hAnsi="Tw Cen MT"/>
              </w:rPr>
              <w:t>10%</w:t>
            </w:r>
          </w:p>
        </w:tc>
        <w:tc>
          <w:tcPr>
            <w:tcW w:w="1350" w:type="dxa"/>
            <w:tcBorders>
              <w:bottom w:val="single" w:sz="4" w:space="0" w:color="auto"/>
            </w:tcBorders>
            <w:vAlign w:val="center"/>
          </w:tcPr>
          <w:p w14:paraId="14E7BD7A" w14:textId="009BF221" w:rsidR="00CA302E" w:rsidRPr="000E063D" w:rsidRDefault="007B37BF" w:rsidP="003E2DCF">
            <w:pPr>
              <w:pStyle w:val="TableText"/>
              <w:rPr>
                <w:rFonts w:ascii="Tw Cen MT" w:hAnsi="Tw Cen MT"/>
              </w:rPr>
            </w:pPr>
            <w:r w:rsidRPr="000E063D">
              <w:rPr>
                <w:rFonts w:ascii="Tw Cen MT" w:hAnsi="Tw Cen MT"/>
              </w:rPr>
              <w:t>49</w:t>
            </w:r>
          </w:p>
        </w:tc>
      </w:tr>
      <w:tr w:rsidR="00CA302E" w:rsidRPr="000E063D" w14:paraId="01E9540F" w14:textId="77777777" w:rsidTr="007E73F2">
        <w:trPr>
          <w:cantSplit/>
          <w:trHeight w:val="260"/>
          <w:jc w:val="center"/>
        </w:trPr>
        <w:tc>
          <w:tcPr>
            <w:tcW w:w="827" w:type="dxa"/>
            <w:tcBorders>
              <w:bottom w:val="single" w:sz="4" w:space="0" w:color="auto"/>
            </w:tcBorders>
            <w:vAlign w:val="center"/>
          </w:tcPr>
          <w:p w14:paraId="14447F9A" w14:textId="77777777" w:rsidR="00CA302E" w:rsidRPr="000E063D" w:rsidRDefault="00CA302E" w:rsidP="003E2DCF">
            <w:pPr>
              <w:pStyle w:val="TableText"/>
              <w:rPr>
                <w:rFonts w:ascii="Tw Cen MT" w:hAnsi="Tw Cen MT"/>
              </w:rPr>
            </w:pPr>
            <w:r w:rsidRPr="000E063D">
              <w:rPr>
                <w:rFonts w:ascii="Tw Cen MT" w:hAnsi="Tw Cen MT"/>
              </w:rPr>
              <w:t>5</w:t>
            </w:r>
          </w:p>
        </w:tc>
        <w:tc>
          <w:tcPr>
            <w:tcW w:w="1418" w:type="dxa"/>
            <w:tcBorders>
              <w:bottom w:val="single" w:sz="4" w:space="0" w:color="auto"/>
            </w:tcBorders>
            <w:shd w:val="clear" w:color="auto" w:fill="000000" w:themeFill="text1"/>
            <w:vAlign w:val="center"/>
          </w:tcPr>
          <w:p w14:paraId="22DFE69A" w14:textId="77777777" w:rsidR="00CA302E" w:rsidRPr="000E063D" w:rsidRDefault="00CA302E" w:rsidP="003E2DCF">
            <w:pPr>
              <w:pStyle w:val="TableText"/>
              <w:rPr>
                <w:rFonts w:ascii="Tw Cen MT" w:hAnsi="Tw Cen MT"/>
              </w:rPr>
            </w:pPr>
          </w:p>
        </w:tc>
        <w:tc>
          <w:tcPr>
            <w:tcW w:w="1409" w:type="dxa"/>
            <w:shd w:val="clear" w:color="auto" w:fill="000000" w:themeFill="text1"/>
            <w:vAlign w:val="center"/>
          </w:tcPr>
          <w:p w14:paraId="029E6982" w14:textId="77777777" w:rsidR="00CA302E" w:rsidRPr="000E063D" w:rsidRDefault="00CA302E" w:rsidP="003E2DCF">
            <w:pPr>
              <w:pStyle w:val="TableText"/>
              <w:rPr>
                <w:rFonts w:ascii="Tw Cen MT" w:hAnsi="Tw Cen MT"/>
              </w:rPr>
            </w:pPr>
          </w:p>
        </w:tc>
        <w:tc>
          <w:tcPr>
            <w:tcW w:w="1223" w:type="dxa"/>
            <w:shd w:val="clear" w:color="auto" w:fill="000000" w:themeFill="text1"/>
            <w:vAlign w:val="center"/>
          </w:tcPr>
          <w:p w14:paraId="12423F40" w14:textId="77777777" w:rsidR="00CA302E" w:rsidRPr="000E063D" w:rsidRDefault="00CA302E" w:rsidP="003E2DCF">
            <w:pPr>
              <w:pStyle w:val="TableText"/>
              <w:rPr>
                <w:rFonts w:ascii="Tw Cen MT" w:hAnsi="Tw Cen MT"/>
              </w:rPr>
            </w:pPr>
          </w:p>
        </w:tc>
        <w:tc>
          <w:tcPr>
            <w:tcW w:w="1350" w:type="dxa"/>
            <w:tcBorders>
              <w:bottom w:val="single" w:sz="4" w:space="0" w:color="auto"/>
            </w:tcBorders>
            <w:shd w:val="clear" w:color="auto" w:fill="000000" w:themeFill="text1"/>
            <w:vAlign w:val="center"/>
          </w:tcPr>
          <w:p w14:paraId="12813560" w14:textId="77777777" w:rsidR="00CA302E" w:rsidRPr="000E063D" w:rsidRDefault="00CA302E" w:rsidP="003E2DCF">
            <w:pPr>
              <w:pStyle w:val="TableText"/>
              <w:rPr>
                <w:rFonts w:ascii="Tw Cen MT" w:hAnsi="Tw Cen MT"/>
              </w:rPr>
            </w:pPr>
          </w:p>
        </w:tc>
      </w:tr>
      <w:tr w:rsidR="00CA302E" w:rsidRPr="000E063D" w14:paraId="594AD790" w14:textId="77777777" w:rsidTr="007E73F2">
        <w:trPr>
          <w:cantSplit/>
          <w:trHeight w:val="260"/>
          <w:jc w:val="center"/>
        </w:trPr>
        <w:tc>
          <w:tcPr>
            <w:tcW w:w="827" w:type="dxa"/>
            <w:tcBorders>
              <w:bottom w:val="single" w:sz="4" w:space="0" w:color="auto"/>
            </w:tcBorders>
            <w:vAlign w:val="center"/>
          </w:tcPr>
          <w:p w14:paraId="6F4A6F0E" w14:textId="77777777" w:rsidR="00CA302E" w:rsidRPr="000E063D" w:rsidRDefault="00CA302E" w:rsidP="003E2DCF">
            <w:pPr>
              <w:pStyle w:val="TableText"/>
              <w:rPr>
                <w:rFonts w:ascii="Tw Cen MT" w:hAnsi="Tw Cen MT"/>
              </w:rPr>
            </w:pPr>
            <w:r w:rsidRPr="000E063D">
              <w:rPr>
                <w:rFonts w:ascii="Tw Cen MT" w:hAnsi="Tw Cen MT"/>
              </w:rPr>
              <w:t>6</w:t>
            </w:r>
          </w:p>
        </w:tc>
        <w:tc>
          <w:tcPr>
            <w:tcW w:w="1418" w:type="dxa"/>
            <w:tcBorders>
              <w:bottom w:val="single" w:sz="4" w:space="0" w:color="auto"/>
            </w:tcBorders>
            <w:shd w:val="clear" w:color="auto" w:fill="000000" w:themeFill="text1"/>
            <w:vAlign w:val="center"/>
          </w:tcPr>
          <w:p w14:paraId="1593615B" w14:textId="77777777" w:rsidR="00CA302E" w:rsidRPr="000E063D" w:rsidRDefault="00CA302E" w:rsidP="003E2DCF">
            <w:pPr>
              <w:pStyle w:val="TableText"/>
              <w:rPr>
                <w:rFonts w:ascii="Tw Cen MT" w:hAnsi="Tw Cen MT"/>
              </w:rPr>
            </w:pPr>
          </w:p>
        </w:tc>
        <w:tc>
          <w:tcPr>
            <w:tcW w:w="1409" w:type="dxa"/>
            <w:shd w:val="clear" w:color="auto" w:fill="000000" w:themeFill="text1"/>
            <w:vAlign w:val="center"/>
          </w:tcPr>
          <w:p w14:paraId="520A8E70" w14:textId="77777777" w:rsidR="00CA302E" w:rsidRPr="000E063D" w:rsidRDefault="00CA302E" w:rsidP="003E2DCF">
            <w:pPr>
              <w:pStyle w:val="TableText"/>
              <w:rPr>
                <w:rFonts w:ascii="Tw Cen MT" w:hAnsi="Tw Cen MT"/>
              </w:rPr>
            </w:pPr>
          </w:p>
        </w:tc>
        <w:tc>
          <w:tcPr>
            <w:tcW w:w="1223" w:type="dxa"/>
            <w:shd w:val="clear" w:color="auto" w:fill="000000" w:themeFill="text1"/>
            <w:vAlign w:val="center"/>
          </w:tcPr>
          <w:p w14:paraId="7A07493B" w14:textId="77777777" w:rsidR="00CA302E" w:rsidRPr="000E063D" w:rsidRDefault="00CA302E" w:rsidP="003E2DCF">
            <w:pPr>
              <w:pStyle w:val="TableText"/>
              <w:rPr>
                <w:rFonts w:ascii="Tw Cen MT" w:hAnsi="Tw Cen MT"/>
              </w:rPr>
            </w:pPr>
          </w:p>
        </w:tc>
        <w:tc>
          <w:tcPr>
            <w:tcW w:w="1350" w:type="dxa"/>
            <w:tcBorders>
              <w:bottom w:val="single" w:sz="4" w:space="0" w:color="auto"/>
            </w:tcBorders>
            <w:shd w:val="clear" w:color="auto" w:fill="000000" w:themeFill="text1"/>
            <w:vAlign w:val="center"/>
          </w:tcPr>
          <w:p w14:paraId="049167E1" w14:textId="77777777" w:rsidR="00CA302E" w:rsidRPr="000E063D" w:rsidRDefault="00CA302E" w:rsidP="003E2DCF">
            <w:pPr>
              <w:pStyle w:val="TableText"/>
              <w:rPr>
                <w:rFonts w:ascii="Tw Cen MT" w:hAnsi="Tw Cen MT"/>
              </w:rPr>
            </w:pPr>
          </w:p>
        </w:tc>
      </w:tr>
      <w:tr w:rsidR="00CA302E" w:rsidRPr="000E063D" w14:paraId="78372665" w14:textId="77777777" w:rsidTr="007E73F2">
        <w:trPr>
          <w:cantSplit/>
          <w:trHeight w:val="260"/>
          <w:jc w:val="center"/>
        </w:trPr>
        <w:tc>
          <w:tcPr>
            <w:tcW w:w="827" w:type="dxa"/>
            <w:tcBorders>
              <w:bottom w:val="single" w:sz="4" w:space="0" w:color="auto"/>
            </w:tcBorders>
            <w:vAlign w:val="center"/>
          </w:tcPr>
          <w:p w14:paraId="273C8B54" w14:textId="77777777" w:rsidR="00CA302E" w:rsidRPr="000E063D" w:rsidRDefault="00CA302E" w:rsidP="003E2DCF">
            <w:pPr>
              <w:pStyle w:val="TableText"/>
              <w:rPr>
                <w:rFonts w:ascii="Tw Cen MT" w:hAnsi="Tw Cen MT"/>
              </w:rPr>
            </w:pPr>
            <w:r w:rsidRPr="000E063D">
              <w:rPr>
                <w:rFonts w:ascii="Tw Cen MT" w:hAnsi="Tw Cen MT"/>
              </w:rPr>
              <w:t>7</w:t>
            </w:r>
          </w:p>
        </w:tc>
        <w:tc>
          <w:tcPr>
            <w:tcW w:w="1418" w:type="dxa"/>
            <w:tcBorders>
              <w:bottom w:val="single" w:sz="4" w:space="0" w:color="auto"/>
            </w:tcBorders>
            <w:shd w:val="clear" w:color="auto" w:fill="000000" w:themeFill="text1"/>
            <w:vAlign w:val="center"/>
          </w:tcPr>
          <w:p w14:paraId="58B9CB17" w14:textId="77777777" w:rsidR="00CA302E" w:rsidRPr="000E063D" w:rsidRDefault="00CA302E" w:rsidP="003E2DCF">
            <w:pPr>
              <w:pStyle w:val="TableText"/>
              <w:rPr>
                <w:rFonts w:ascii="Tw Cen MT" w:hAnsi="Tw Cen MT"/>
              </w:rPr>
            </w:pPr>
          </w:p>
        </w:tc>
        <w:tc>
          <w:tcPr>
            <w:tcW w:w="1409" w:type="dxa"/>
            <w:shd w:val="clear" w:color="auto" w:fill="000000" w:themeFill="text1"/>
            <w:vAlign w:val="center"/>
          </w:tcPr>
          <w:p w14:paraId="6AB10652" w14:textId="77777777" w:rsidR="00CA302E" w:rsidRPr="000E063D" w:rsidRDefault="00CA302E" w:rsidP="003E2DCF">
            <w:pPr>
              <w:pStyle w:val="TableText"/>
              <w:rPr>
                <w:rFonts w:ascii="Tw Cen MT" w:hAnsi="Tw Cen MT"/>
              </w:rPr>
            </w:pPr>
          </w:p>
        </w:tc>
        <w:tc>
          <w:tcPr>
            <w:tcW w:w="1223" w:type="dxa"/>
            <w:shd w:val="clear" w:color="auto" w:fill="000000" w:themeFill="text1"/>
            <w:vAlign w:val="center"/>
          </w:tcPr>
          <w:p w14:paraId="244C773E" w14:textId="77777777" w:rsidR="00CA302E" w:rsidRPr="000E063D" w:rsidRDefault="00CA302E" w:rsidP="003E2DCF">
            <w:pPr>
              <w:pStyle w:val="TableText"/>
              <w:rPr>
                <w:rFonts w:ascii="Tw Cen MT" w:hAnsi="Tw Cen MT"/>
              </w:rPr>
            </w:pPr>
          </w:p>
        </w:tc>
        <w:tc>
          <w:tcPr>
            <w:tcW w:w="1350" w:type="dxa"/>
            <w:tcBorders>
              <w:bottom w:val="single" w:sz="4" w:space="0" w:color="auto"/>
            </w:tcBorders>
            <w:shd w:val="clear" w:color="auto" w:fill="000000" w:themeFill="text1"/>
            <w:vAlign w:val="center"/>
          </w:tcPr>
          <w:p w14:paraId="24875E3E" w14:textId="77777777" w:rsidR="00CA302E" w:rsidRPr="000E063D" w:rsidRDefault="00CA302E" w:rsidP="003E2DCF">
            <w:pPr>
              <w:pStyle w:val="TableText"/>
              <w:rPr>
                <w:rFonts w:ascii="Tw Cen MT" w:hAnsi="Tw Cen MT"/>
              </w:rPr>
            </w:pPr>
          </w:p>
        </w:tc>
      </w:tr>
      <w:tr w:rsidR="00CA302E" w:rsidRPr="000E063D" w14:paraId="5D9B9021" w14:textId="77777777" w:rsidTr="007E73F2">
        <w:trPr>
          <w:cantSplit/>
          <w:trHeight w:val="260"/>
          <w:jc w:val="center"/>
        </w:trPr>
        <w:tc>
          <w:tcPr>
            <w:tcW w:w="827" w:type="dxa"/>
            <w:tcBorders>
              <w:bottom w:val="double" w:sz="4" w:space="0" w:color="auto"/>
            </w:tcBorders>
            <w:vAlign w:val="center"/>
          </w:tcPr>
          <w:p w14:paraId="76C8E188" w14:textId="77777777" w:rsidR="00CA302E" w:rsidRPr="000E063D" w:rsidRDefault="00CA302E" w:rsidP="003E2DCF">
            <w:pPr>
              <w:pStyle w:val="TableText"/>
              <w:rPr>
                <w:rFonts w:ascii="Tw Cen MT" w:hAnsi="Tw Cen MT"/>
              </w:rPr>
            </w:pPr>
            <w:r w:rsidRPr="000E063D">
              <w:rPr>
                <w:rFonts w:ascii="Tw Cen MT" w:hAnsi="Tw Cen MT"/>
              </w:rPr>
              <w:t>8</w:t>
            </w:r>
          </w:p>
        </w:tc>
        <w:tc>
          <w:tcPr>
            <w:tcW w:w="1418" w:type="dxa"/>
            <w:tcBorders>
              <w:bottom w:val="double" w:sz="4" w:space="0" w:color="auto"/>
            </w:tcBorders>
            <w:shd w:val="clear" w:color="auto" w:fill="000000" w:themeFill="text1"/>
            <w:vAlign w:val="center"/>
          </w:tcPr>
          <w:p w14:paraId="13810D87" w14:textId="77777777" w:rsidR="00CA302E" w:rsidRPr="000E063D" w:rsidRDefault="00CA302E" w:rsidP="003E2DCF">
            <w:pPr>
              <w:pStyle w:val="TableText"/>
              <w:rPr>
                <w:rFonts w:ascii="Tw Cen MT" w:hAnsi="Tw Cen MT"/>
              </w:rPr>
            </w:pPr>
          </w:p>
        </w:tc>
        <w:tc>
          <w:tcPr>
            <w:tcW w:w="1409" w:type="dxa"/>
            <w:tcBorders>
              <w:bottom w:val="double" w:sz="4" w:space="0" w:color="auto"/>
            </w:tcBorders>
            <w:shd w:val="clear" w:color="auto" w:fill="000000" w:themeFill="text1"/>
            <w:vAlign w:val="center"/>
          </w:tcPr>
          <w:p w14:paraId="58F0B5E7" w14:textId="77777777" w:rsidR="00CA302E" w:rsidRPr="000E063D" w:rsidRDefault="00CA302E" w:rsidP="003E2DCF">
            <w:pPr>
              <w:pStyle w:val="TableText"/>
              <w:rPr>
                <w:rFonts w:ascii="Tw Cen MT" w:hAnsi="Tw Cen MT"/>
              </w:rPr>
            </w:pPr>
          </w:p>
        </w:tc>
        <w:tc>
          <w:tcPr>
            <w:tcW w:w="1223" w:type="dxa"/>
            <w:tcBorders>
              <w:bottom w:val="double" w:sz="4" w:space="0" w:color="auto"/>
            </w:tcBorders>
            <w:shd w:val="clear" w:color="auto" w:fill="000000" w:themeFill="text1"/>
            <w:vAlign w:val="center"/>
          </w:tcPr>
          <w:p w14:paraId="257F5229" w14:textId="77777777" w:rsidR="00CA302E" w:rsidRPr="000E063D" w:rsidRDefault="00CA302E" w:rsidP="003E2DCF">
            <w:pPr>
              <w:pStyle w:val="TableText"/>
              <w:rPr>
                <w:rFonts w:ascii="Tw Cen MT" w:hAnsi="Tw Cen MT"/>
              </w:rPr>
            </w:pPr>
          </w:p>
        </w:tc>
        <w:tc>
          <w:tcPr>
            <w:tcW w:w="1350" w:type="dxa"/>
            <w:tcBorders>
              <w:bottom w:val="double" w:sz="4" w:space="0" w:color="auto"/>
            </w:tcBorders>
            <w:shd w:val="clear" w:color="auto" w:fill="000000" w:themeFill="text1"/>
            <w:vAlign w:val="center"/>
          </w:tcPr>
          <w:p w14:paraId="207FB04F" w14:textId="77777777" w:rsidR="00CA302E" w:rsidRPr="000E063D" w:rsidRDefault="00CA302E" w:rsidP="003E2DCF">
            <w:pPr>
              <w:pStyle w:val="TableText"/>
              <w:rPr>
                <w:rFonts w:ascii="Tw Cen MT" w:hAnsi="Tw Cen MT"/>
              </w:rPr>
            </w:pPr>
          </w:p>
        </w:tc>
      </w:tr>
      <w:tr w:rsidR="00CA302E" w:rsidRPr="000E063D" w14:paraId="576773E5" w14:textId="77777777" w:rsidTr="003E2DCF">
        <w:trPr>
          <w:cantSplit/>
          <w:trHeight w:val="240"/>
          <w:jc w:val="center"/>
        </w:trPr>
        <w:tc>
          <w:tcPr>
            <w:tcW w:w="827" w:type="dxa"/>
            <w:tcBorders>
              <w:top w:val="double" w:sz="4" w:space="0" w:color="auto"/>
              <w:bottom w:val="double" w:sz="4" w:space="0" w:color="auto"/>
            </w:tcBorders>
            <w:vAlign w:val="center"/>
          </w:tcPr>
          <w:p w14:paraId="33F51C21" w14:textId="77777777" w:rsidR="00CA302E" w:rsidRPr="000E063D" w:rsidRDefault="00CA302E" w:rsidP="003E2DCF">
            <w:pPr>
              <w:pStyle w:val="TableText"/>
              <w:rPr>
                <w:rFonts w:ascii="Tw Cen MT" w:hAnsi="Tw Cen MT"/>
              </w:rPr>
            </w:pPr>
            <w:r w:rsidRPr="000E063D">
              <w:rPr>
                <w:rFonts w:ascii="Tw Cen MT" w:hAnsi="Tw Cen MT"/>
              </w:rPr>
              <w:t xml:space="preserve">All </w:t>
            </w:r>
          </w:p>
        </w:tc>
        <w:tc>
          <w:tcPr>
            <w:tcW w:w="1418" w:type="dxa"/>
            <w:tcBorders>
              <w:top w:val="double" w:sz="4" w:space="0" w:color="auto"/>
              <w:bottom w:val="double" w:sz="4" w:space="0" w:color="auto"/>
            </w:tcBorders>
            <w:vAlign w:val="center"/>
          </w:tcPr>
          <w:p w14:paraId="5D44E52B" w14:textId="3EFA4F03" w:rsidR="00CA302E" w:rsidRPr="000E063D" w:rsidRDefault="00790798" w:rsidP="003E2DCF">
            <w:pPr>
              <w:pStyle w:val="TableText"/>
              <w:rPr>
                <w:rFonts w:ascii="Tw Cen MT" w:hAnsi="Tw Cen MT"/>
              </w:rPr>
            </w:pPr>
            <w:r w:rsidRPr="000E063D">
              <w:rPr>
                <w:rFonts w:ascii="Tw Cen MT" w:hAnsi="Tw Cen MT"/>
              </w:rPr>
              <w:t>11%</w:t>
            </w:r>
          </w:p>
        </w:tc>
        <w:tc>
          <w:tcPr>
            <w:tcW w:w="1409" w:type="dxa"/>
            <w:tcBorders>
              <w:top w:val="double" w:sz="4" w:space="0" w:color="auto"/>
              <w:bottom w:val="double" w:sz="4" w:space="0" w:color="auto"/>
            </w:tcBorders>
            <w:vAlign w:val="center"/>
          </w:tcPr>
          <w:p w14:paraId="371891E4" w14:textId="38F9F45B" w:rsidR="00CA302E" w:rsidRPr="000E063D" w:rsidRDefault="002245E1" w:rsidP="003E2DCF">
            <w:pPr>
              <w:pStyle w:val="TableText"/>
              <w:rPr>
                <w:rFonts w:ascii="Tw Cen MT" w:hAnsi="Tw Cen MT"/>
              </w:rPr>
            </w:pPr>
            <w:r w:rsidRPr="000E063D">
              <w:rPr>
                <w:rFonts w:ascii="Tw Cen MT" w:hAnsi="Tw Cen MT"/>
              </w:rPr>
              <w:t>105</w:t>
            </w:r>
          </w:p>
        </w:tc>
        <w:tc>
          <w:tcPr>
            <w:tcW w:w="1223" w:type="dxa"/>
            <w:tcBorders>
              <w:top w:val="double" w:sz="4" w:space="0" w:color="auto"/>
              <w:bottom w:val="double" w:sz="4" w:space="0" w:color="auto"/>
            </w:tcBorders>
            <w:vAlign w:val="center"/>
          </w:tcPr>
          <w:p w14:paraId="44A1A78D" w14:textId="67B916A4" w:rsidR="00CA302E" w:rsidRPr="000E063D" w:rsidRDefault="00790798" w:rsidP="003E2DCF">
            <w:pPr>
              <w:pStyle w:val="TableText"/>
              <w:rPr>
                <w:rFonts w:ascii="Tw Cen MT" w:hAnsi="Tw Cen MT"/>
              </w:rPr>
            </w:pPr>
            <w:r w:rsidRPr="000E063D">
              <w:rPr>
                <w:rFonts w:ascii="Tw Cen MT" w:hAnsi="Tw Cen MT"/>
              </w:rPr>
              <w:t>12%</w:t>
            </w:r>
          </w:p>
        </w:tc>
        <w:tc>
          <w:tcPr>
            <w:tcW w:w="1350" w:type="dxa"/>
            <w:tcBorders>
              <w:top w:val="double" w:sz="4" w:space="0" w:color="auto"/>
              <w:bottom w:val="double" w:sz="4" w:space="0" w:color="auto"/>
            </w:tcBorders>
            <w:vAlign w:val="center"/>
          </w:tcPr>
          <w:p w14:paraId="08A5B041" w14:textId="673E1DA7" w:rsidR="00CA302E" w:rsidRPr="000E063D" w:rsidRDefault="002245E1" w:rsidP="003E2DCF">
            <w:pPr>
              <w:pStyle w:val="TableText"/>
              <w:rPr>
                <w:rFonts w:ascii="Tw Cen MT" w:hAnsi="Tw Cen MT"/>
              </w:rPr>
            </w:pPr>
            <w:r w:rsidRPr="000E063D">
              <w:rPr>
                <w:rFonts w:ascii="Tw Cen MT" w:hAnsi="Tw Cen MT"/>
              </w:rPr>
              <w:t>100</w:t>
            </w:r>
          </w:p>
        </w:tc>
      </w:tr>
    </w:tbl>
    <w:p w14:paraId="24D3BBF2" w14:textId="77777777" w:rsidR="00CA302E" w:rsidRPr="000E063D" w:rsidRDefault="00CA302E" w:rsidP="00CA302E">
      <w:pPr>
        <w:jc w:val="center"/>
        <w:rPr>
          <w:rFonts w:ascii="Tw Cen MT" w:hAnsi="Tw Cen MT"/>
          <w:b/>
          <w:color w:val="000000"/>
          <w:szCs w:val="23"/>
        </w:rPr>
      </w:pPr>
    </w:p>
    <w:p w14:paraId="69DDFD17" w14:textId="07B3484F" w:rsidR="00CA302E" w:rsidRPr="000E063D" w:rsidRDefault="00CA302E" w:rsidP="00CA302E">
      <w:pPr>
        <w:pStyle w:val="MeasureTitle"/>
        <w:rPr>
          <w:rFonts w:ascii="Tw Cen MT" w:hAnsi="Tw Cen MT"/>
        </w:rPr>
      </w:pPr>
      <w:r w:rsidRPr="000E063D">
        <w:rPr>
          <w:rFonts w:ascii="Tw Cen MT" w:hAnsi="Tw Cen MT"/>
        </w:rPr>
        <w:t xml:space="preserve">Goal </w:t>
      </w:r>
      <w:r w:rsidR="00721CCA" w:rsidRPr="000E063D">
        <w:rPr>
          <w:rFonts w:ascii="Tw Cen MT" w:hAnsi="Tw Cen MT"/>
        </w:rPr>
        <w:t>2</w:t>
      </w:r>
      <w:r w:rsidRPr="000E063D">
        <w:rPr>
          <w:rFonts w:ascii="Tw Cen MT" w:hAnsi="Tw Cen MT"/>
        </w:rPr>
        <w:t>: Absolute Measure</w:t>
      </w:r>
    </w:p>
    <w:p w14:paraId="044354D1" w14:textId="577DA2D4" w:rsidR="00CA302E" w:rsidRPr="000E063D" w:rsidRDefault="00CA302E" w:rsidP="00CA302E">
      <w:pPr>
        <w:pStyle w:val="MeasureText"/>
        <w:rPr>
          <w:rFonts w:ascii="Tw Cen MT" w:hAnsi="Tw Cen MT"/>
          <w:b/>
          <w:bCs/>
          <w:i/>
          <w:iCs/>
        </w:rPr>
      </w:pPr>
      <w:r w:rsidRPr="000E063D">
        <w:rPr>
          <w:rFonts w:ascii="Tw Cen MT" w:hAnsi="Tw Cen MT"/>
        </w:rPr>
        <w:t xml:space="preserve">Each year, the school’s aggregate Performance Index (“PI”) on the </w:t>
      </w:r>
      <w:r w:rsidR="0024329C" w:rsidRPr="000E063D">
        <w:rPr>
          <w:rFonts w:ascii="Tw Cen MT" w:hAnsi="Tw Cen MT"/>
        </w:rPr>
        <w:t>s</w:t>
      </w:r>
      <w:r w:rsidRPr="000E063D">
        <w:rPr>
          <w:rFonts w:ascii="Tw Cen MT" w:hAnsi="Tw Cen MT"/>
        </w:rPr>
        <w:t xml:space="preserve">tate </w:t>
      </w:r>
      <w:r w:rsidR="0024329C" w:rsidRPr="000E063D">
        <w:rPr>
          <w:rFonts w:ascii="Tw Cen MT" w:hAnsi="Tw Cen MT"/>
        </w:rPr>
        <w:t xml:space="preserve">mathematics </w:t>
      </w:r>
      <w:r w:rsidRPr="000E063D">
        <w:rPr>
          <w:rFonts w:ascii="Tw Cen MT" w:hAnsi="Tw Cen MT"/>
        </w:rPr>
        <w:t>exam will meet that year’s state Measure of Interim Progress (“MIP”) set forth in the state’s ESSA accountability system.</w:t>
      </w:r>
    </w:p>
    <w:p w14:paraId="26199A43" w14:textId="77777777" w:rsidR="00CA302E" w:rsidRPr="000E063D" w:rsidRDefault="00CA302E" w:rsidP="00CA302E">
      <w:pPr>
        <w:rPr>
          <w:rFonts w:ascii="Tw Cen MT" w:hAnsi="Tw Cen MT"/>
        </w:rPr>
      </w:pPr>
      <w:r w:rsidRPr="000E063D">
        <w:rPr>
          <w:rFonts w:ascii="Tw Cen MT" w:hAnsi="Tw Cen MT"/>
        </w:rPr>
        <w:t xml:space="preserve">The Institute does not require charters to report on this measure for 2021-22. </w:t>
      </w:r>
    </w:p>
    <w:p w14:paraId="3F3FC8FE" w14:textId="357F6FE0" w:rsidR="00CA302E" w:rsidRPr="000E063D" w:rsidRDefault="00CA302E" w:rsidP="00CA302E">
      <w:pPr>
        <w:pStyle w:val="MeasureTitle"/>
        <w:rPr>
          <w:rFonts w:ascii="Tw Cen MT" w:hAnsi="Tw Cen MT"/>
        </w:rPr>
      </w:pPr>
      <w:r w:rsidRPr="000E063D">
        <w:rPr>
          <w:rFonts w:ascii="Tw Cen MT" w:hAnsi="Tw Cen MT"/>
        </w:rPr>
        <w:lastRenderedPageBreak/>
        <w:t xml:space="preserve">Goal </w:t>
      </w:r>
      <w:r w:rsidR="00721CCA" w:rsidRPr="000E063D">
        <w:rPr>
          <w:rFonts w:ascii="Tw Cen MT" w:hAnsi="Tw Cen MT"/>
        </w:rPr>
        <w:t>2</w:t>
      </w:r>
      <w:r w:rsidRPr="000E063D">
        <w:rPr>
          <w:rFonts w:ascii="Tw Cen MT" w:hAnsi="Tw Cen MT"/>
        </w:rPr>
        <w:t>: Comparative Measure</w:t>
      </w:r>
    </w:p>
    <w:p w14:paraId="0D0E8B26" w14:textId="04C9DA8A" w:rsidR="00CA302E" w:rsidRPr="000E063D" w:rsidRDefault="00CA302E" w:rsidP="00CA302E">
      <w:pPr>
        <w:pStyle w:val="MeasureText"/>
        <w:rPr>
          <w:rFonts w:ascii="Tw Cen MT" w:hAnsi="Tw Cen MT"/>
          <w:i/>
        </w:rPr>
      </w:pPr>
      <w:r w:rsidRPr="000E063D">
        <w:rPr>
          <w:rFonts w:ascii="Tw Cen MT" w:hAnsi="Tw Cen MT"/>
        </w:rPr>
        <w:t xml:space="preserve">Each year, the percent of all tested students who are enrolled in at least their second year and performing at proficiency on the state </w:t>
      </w:r>
      <w:r w:rsidR="0024329C" w:rsidRPr="000E063D">
        <w:rPr>
          <w:rFonts w:ascii="Tw Cen MT" w:hAnsi="Tw Cen MT"/>
        </w:rPr>
        <w:t xml:space="preserve">mathematics </w:t>
      </w:r>
      <w:r w:rsidRPr="000E063D">
        <w:rPr>
          <w:rFonts w:ascii="Tw Cen MT" w:hAnsi="Tw Cen MT"/>
        </w:rPr>
        <w:t>exam will be greater than that of all students in the same tested grades in the school district of comparison.</w:t>
      </w:r>
    </w:p>
    <w:p w14:paraId="01FCE03D" w14:textId="77777777" w:rsidR="00CA302E" w:rsidRPr="000E063D" w:rsidRDefault="00CA302E" w:rsidP="00CA302E">
      <w:pPr>
        <w:pStyle w:val="Heading2"/>
        <w:rPr>
          <w:rFonts w:ascii="Tw Cen MT" w:hAnsi="Tw Cen MT"/>
        </w:rPr>
      </w:pPr>
      <w:r w:rsidRPr="000E063D">
        <w:rPr>
          <w:rFonts w:ascii="Tw Cen MT" w:hAnsi="Tw Cen MT"/>
        </w:rPr>
        <w:t>Method</w:t>
      </w:r>
    </w:p>
    <w:p w14:paraId="5D3336CF" w14:textId="4F6F1659" w:rsidR="00CA302E" w:rsidRDefault="00CA302E" w:rsidP="00F2377C">
      <w:pPr>
        <w:jc w:val="both"/>
        <w:rPr>
          <w:rFonts w:ascii="Tw Cen MT" w:hAnsi="Tw Cen MT"/>
        </w:rPr>
      </w:pPr>
      <w:r w:rsidRPr="000E063D">
        <w:rPr>
          <w:rFonts w:ascii="Tw Cen MT" w:hAnsi="Tw Cen MT"/>
        </w:rPr>
        <w:t>A school compares tested students enrolled in at least their second year to all tested students in the public school district of comparison.  Comparisons are between the results for each grade in which the school had tested students in at least their second year at the school and the total result for all students at the corresponding grades in the school district.</w:t>
      </w:r>
    </w:p>
    <w:p w14:paraId="05904822" w14:textId="77777777" w:rsidR="00F2377C" w:rsidRPr="000E063D" w:rsidRDefault="00F2377C" w:rsidP="00F2377C">
      <w:pPr>
        <w:jc w:val="both"/>
        <w:rPr>
          <w:rFonts w:ascii="Tw Cen MT" w:hAnsi="Tw Cen MT"/>
        </w:rPr>
      </w:pPr>
    </w:p>
    <w:p w14:paraId="10CA9B51" w14:textId="77777777" w:rsidR="00CA302E" w:rsidRPr="000E063D" w:rsidRDefault="00CA302E" w:rsidP="00CA302E">
      <w:pPr>
        <w:pStyle w:val="Heading2"/>
        <w:rPr>
          <w:rFonts w:ascii="Tw Cen MT" w:hAnsi="Tw Cen MT"/>
        </w:rPr>
      </w:pPr>
      <w:r w:rsidRPr="000E063D">
        <w:rPr>
          <w:rFonts w:ascii="Tw Cen MT" w:hAnsi="Tw Cen MT"/>
        </w:rPr>
        <w:t>Results and Evaluation</w:t>
      </w:r>
    </w:p>
    <w:p w14:paraId="0A28AFDB" w14:textId="1165DCD7" w:rsidR="00CA302E" w:rsidRPr="000E063D" w:rsidRDefault="0037774D" w:rsidP="00CA302E">
      <w:pPr>
        <w:rPr>
          <w:rFonts w:ascii="Tw Cen MT" w:hAnsi="Tw Cen MT"/>
        </w:rPr>
      </w:pPr>
      <w:r>
        <w:rPr>
          <w:rFonts w:ascii="Tw Cen MT" w:hAnsi="Tw Cen MT"/>
        </w:rPr>
        <w:t xml:space="preserve">Comparative data from the district was not yet available at the time of this report submission. </w:t>
      </w:r>
    </w:p>
    <w:p w14:paraId="55EF0B25" w14:textId="5189D22A" w:rsidR="00CA302E" w:rsidRPr="000E063D" w:rsidRDefault="00CA302E" w:rsidP="00CA302E">
      <w:pPr>
        <w:pStyle w:val="TableHeader"/>
        <w:rPr>
          <w:rFonts w:ascii="Tw Cen MT" w:hAnsi="Tw Cen MT"/>
        </w:rPr>
      </w:pPr>
      <w:r w:rsidRPr="000E063D">
        <w:rPr>
          <w:rFonts w:ascii="Tw Cen MT" w:hAnsi="Tw Cen MT"/>
        </w:rPr>
        <w:t xml:space="preserve">2021-22 State </w:t>
      </w:r>
      <w:r w:rsidR="0024329C" w:rsidRPr="000E063D">
        <w:rPr>
          <w:rFonts w:ascii="Tw Cen MT" w:hAnsi="Tw Cen MT"/>
        </w:rPr>
        <w:t xml:space="preserve">Mathematics </w:t>
      </w:r>
      <w:r w:rsidRPr="000E063D">
        <w:rPr>
          <w:rFonts w:ascii="Tw Cen MT" w:hAnsi="Tw Cen MT"/>
        </w:rPr>
        <w:t xml:space="preserve">Exam </w:t>
      </w:r>
      <w:r w:rsidRPr="000E063D">
        <w:rPr>
          <w:rFonts w:ascii="Tw Cen MT" w:hAnsi="Tw Cen MT"/>
        </w:rPr>
        <w:br/>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CA302E" w:rsidRPr="000E063D" w14:paraId="52C4D8E6" w14:textId="77777777" w:rsidTr="003E2DCF">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4E8B792F" w14:textId="77777777" w:rsidR="00CA302E" w:rsidRPr="000E063D" w:rsidRDefault="00CA302E" w:rsidP="003E2DCF">
            <w:pPr>
              <w:pStyle w:val="TableText"/>
              <w:rPr>
                <w:rFonts w:ascii="Tw Cen MT" w:hAnsi="Tw Cen MT"/>
              </w:rPr>
            </w:pPr>
            <w:r w:rsidRPr="000E063D">
              <w:rPr>
                <w:rFonts w:ascii="Tw Cen MT" w:hAnsi="Tw Cen MT"/>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EBBF" w14:textId="77777777" w:rsidR="00CA302E" w:rsidRPr="000E063D" w:rsidRDefault="00CA302E" w:rsidP="003E2DCF">
            <w:pPr>
              <w:pStyle w:val="TableText"/>
              <w:rPr>
                <w:rFonts w:ascii="Tw Cen MT" w:hAnsi="Tw Cen MT"/>
              </w:rPr>
            </w:pPr>
            <w:r w:rsidRPr="000E063D">
              <w:rPr>
                <w:rFonts w:ascii="Tw Cen MT" w:hAnsi="Tw Cen MT"/>
              </w:rPr>
              <w:t>Percent of Students at or Above Proficiency</w:t>
            </w:r>
          </w:p>
        </w:tc>
      </w:tr>
      <w:tr w:rsidR="00CA302E" w:rsidRPr="000E063D" w14:paraId="35EFBE72" w14:textId="77777777" w:rsidTr="003E2DCF">
        <w:trPr>
          <w:tblHeader/>
          <w:jc w:val="center"/>
        </w:trPr>
        <w:tc>
          <w:tcPr>
            <w:tcW w:w="783" w:type="dxa"/>
            <w:vMerge/>
            <w:tcBorders>
              <w:left w:val="single" w:sz="4" w:space="0" w:color="auto"/>
              <w:right w:val="single" w:sz="4" w:space="0" w:color="auto"/>
            </w:tcBorders>
            <w:shd w:val="clear" w:color="auto" w:fill="auto"/>
            <w:vAlign w:val="center"/>
          </w:tcPr>
          <w:p w14:paraId="64C1D994" w14:textId="77777777" w:rsidR="00CA302E" w:rsidRPr="000E063D" w:rsidRDefault="00CA302E" w:rsidP="003E2DCF">
            <w:pPr>
              <w:pStyle w:val="TableText"/>
              <w:rPr>
                <w:rFonts w:ascii="Tw Cen MT" w:hAnsi="Tw Cen MT"/>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4DD6D" w14:textId="77777777" w:rsidR="00CA302E" w:rsidRPr="000E063D" w:rsidRDefault="00CA302E" w:rsidP="003E2DCF">
            <w:pPr>
              <w:pStyle w:val="TableText"/>
              <w:rPr>
                <w:rFonts w:ascii="Tw Cen MT" w:hAnsi="Tw Cen MT"/>
              </w:rPr>
            </w:pPr>
            <w:r w:rsidRPr="000E063D">
              <w:rPr>
                <w:rFonts w:ascii="Tw Cen MT" w:hAnsi="Tw Cen MT"/>
              </w:rPr>
              <w:t>Charter School Students In At Least 2</w:t>
            </w:r>
            <w:r w:rsidRPr="000E063D">
              <w:rPr>
                <w:rFonts w:ascii="Tw Cen MT" w:hAnsi="Tw Cen MT"/>
                <w:vertAlign w:val="superscript"/>
              </w:rPr>
              <w:t>nd</w:t>
            </w:r>
            <w:r w:rsidRPr="000E063D">
              <w:rPr>
                <w:rFonts w:ascii="Tw Cen MT" w:hAnsi="Tw Cen MT"/>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4A6F968F" w14:textId="77777777" w:rsidR="00CA302E" w:rsidRPr="000E063D" w:rsidRDefault="00CA302E" w:rsidP="003E2DCF">
            <w:pPr>
              <w:pStyle w:val="TableText"/>
              <w:rPr>
                <w:rFonts w:ascii="Tw Cen MT" w:hAnsi="Tw Cen MT"/>
              </w:rPr>
            </w:pPr>
            <w:r w:rsidRPr="000E063D">
              <w:rPr>
                <w:rFonts w:ascii="Tw Cen MT" w:hAnsi="Tw Cen MT"/>
              </w:rPr>
              <w:t>All District Students</w:t>
            </w:r>
          </w:p>
        </w:tc>
      </w:tr>
      <w:tr w:rsidR="00CA302E" w:rsidRPr="000E063D" w14:paraId="0D972FB5" w14:textId="77777777" w:rsidTr="003E2DCF">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4969F4BA" w14:textId="77777777" w:rsidR="00CA302E" w:rsidRPr="000E063D" w:rsidRDefault="00CA302E" w:rsidP="003E2DCF">
            <w:pPr>
              <w:pStyle w:val="TableText"/>
              <w:rPr>
                <w:rFonts w:ascii="Tw Cen MT" w:hAnsi="Tw Cen MT"/>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0DE7132" w14:textId="77777777" w:rsidR="00CA302E" w:rsidRPr="000E063D" w:rsidRDefault="00CA302E" w:rsidP="003E2DCF">
            <w:pPr>
              <w:pStyle w:val="TableText"/>
              <w:rPr>
                <w:rFonts w:ascii="Tw Cen MT" w:hAnsi="Tw Cen MT"/>
              </w:rPr>
            </w:pPr>
            <w:r w:rsidRPr="000E063D">
              <w:rPr>
                <w:rFonts w:ascii="Tw Cen MT" w:hAnsi="Tw Cen MT"/>
              </w:rPr>
              <w:t>Percent</w:t>
            </w:r>
          </w:p>
          <w:p w14:paraId="70A934AC" w14:textId="77777777" w:rsidR="00CA302E" w:rsidRPr="000E063D" w:rsidRDefault="00CA302E" w:rsidP="003E2DCF">
            <w:pPr>
              <w:pStyle w:val="TableText"/>
              <w:rPr>
                <w:rFonts w:ascii="Tw Cen MT" w:hAnsi="Tw Cen MT"/>
              </w:rPr>
            </w:pPr>
            <w:r w:rsidRPr="000E063D">
              <w:rPr>
                <w:rFonts w:ascii="Tw Cen MT" w:hAnsi="Tw Cen MT"/>
              </w:rP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26569C74" w14:textId="77777777" w:rsidR="00CA302E" w:rsidRPr="000E063D" w:rsidRDefault="00CA302E" w:rsidP="003E2DCF">
            <w:pPr>
              <w:pStyle w:val="TableText"/>
              <w:rPr>
                <w:rFonts w:ascii="Tw Cen MT" w:hAnsi="Tw Cen MT"/>
              </w:rPr>
            </w:pPr>
            <w:r w:rsidRPr="000E063D">
              <w:rPr>
                <w:rFonts w:ascii="Tw Cen MT" w:hAnsi="Tw Cen MT"/>
              </w:rPr>
              <w:t>Number Tested</w:t>
            </w:r>
          </w:p>
        </w:tc>
        <w:tc>
          <w:tcPr>
            <w:tcW w:w="1156" w:type="dxa"/>
            <w:tcBorders>
              <w:top w:val="single" w:sz="4" w:space="0" w:color="auto"/>
              <w:left w:val="single" w:sz="4" w:space="0" w:color="auto"/>
              <w:bottom w:val="single" w:sz="4" w:space="0" w:color="auto"/>
              <w:right w:val="single" w:sz="4" w:space="0" w:color="auto"/>
            </w:tcBorders>
            <w:vAlign w:val="center"/>
          </w:tcPr>
          <w:p w14:paraId="63BCD7CB" w14:textId="77777777" w:rsidR="00CA302E" w:rsidRPr="000E063D" w:rsidRDefault="00CA302E" w:rsidP="003E2DCF">
            <w:pPr>
              <w:pStyle w:val="TableText"/>
              <w:rPr>
                <w:rFonts w:ascii="Tw Cen MT" w:hAnsi="Tw Cen MT"/>
              </w:rPr>
            </w:pPr>
            <w:r w:rsidRPr="000E063D">
              <w:rPr>
                <w:rFonts w:ascii="Tw Cen MT" w:hAnsi="Tw Cen MT"/>
              </w:rPr>
              <w:t>Percent</w:t>
            </w:r>
          </w:p>
          <w:p w14:paraId="5EAF75CA" w14:textId="77777777" w:rsidR="00CA302E" w:rsidRPr="000E063D" w:rsidRDefault="00CA302E" w:rsidP="003E2DCF">
            <w:pPr>
              <w:pStyle w:val="TableText"/>
              <w:rPr>
                <w:rFonts w:ascii="Tw Cen MT" w:hAnsi="Tw Cen MT"/>
              </w:rPr>
            </w:pPr>
            <w:r w:rsidRPr="000E063D">
              <w:rPr>
                <w:rFonts w:ascii="Tw Cen MT" w:hAnsi="Tw Cen MT"/>
              </w:rPr>
              <w:t>Proficient</w:t>
            </w:r>
          </w:p>
        </w:tc>
        <w:tc>
          <w:tcPr>
            <w:tcW w:w="1156" w:type="dxa"/>
            <w:tcBorders>
              <w:top w:val="single" w:sz="4" w:space="0" w:color="auto"/>
              <w:left w:val="single" w:sz="4" w:space="0" w:color="auto"/>
              <w:bottom w:val="single" w:sz="4" w:space="0" w:color="auto"/>
              <w:right w:val="single" w:sz="4" w:space="0" w:color="auto"/>
            </w:tcBorders>
            <w:vAlign w:val="center"/>
          </w:tcPr>
          <w:p w14:paraId="0C46A791" w14:textId="77777777" w:rsidR="00CA302E" w:rsidRPr="000E063D" w:rsidRDefault="00CA302E" w:rsidP="003E2DCF">
            <w:pPr>
              <w:pStyle w:val="TableText"/>
              <w:rPr>
                <w:rFonts w:ascii="Tw Cen MT" w:hAnsi="Tw Cen MT"/>
              </w:rPr>
            </w:pPr>
            <w:r w:rsidRPr="000E063D">
              <w:rPr>
                <w:rFonts w:ascii="Tw Cen MT" w:hAnsi="Tw Cen MT"/>
              </w:rPr>
              <w:t>Number Tested</w:t>
            </w:r>
          </w:p>
        </w:tc>
      </w:tr>
      <w:tr w:rsidR="00C300CD" w:rsidRPr="000E063D" w14:paraId="2745BBF4"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7C0DF7E9" w14:textId="77777777" w:rsidR="00C300CD" w:rsidRPr="000E063D" w:rsidRDefault="00C300CD" w:rsidP="00C300CD">
            <w:pPr>
              <w:pStyle w:val="TableText"/>
              <w:rPr>
                <w:rFonts w:ascii="Tw Cen MT" w:hAnsi="Tw Cen MT"/>
              </w:rPr>
            </w:pPr>
            <w:r w:rsidRPr="000E063D">
              <w:rPr>
                <w:rFonts w:ascii="Tw Cen MT" w:hAnsi="Tw Cen MT"/>
              </w:rPr>
              <w:t>3</w:t>
            </w:r>
          </w:p>
        </w:tc>
        <w:tc>
          <w:tcPr>
            <w:tcW w:w="1156" w:type="dxa"/>
            <w:tcBorders>
              <w:top w:val="single" w:sz="4" w:space="0" w:color="auto"/>
              <w:bottom w:val="dashed" w:sz="4" w:space="0" w:color="auto"/>
            </w:tcBorders>
            <w:shd w:val="clear" w:color="auto" w:fill="auto"/>
            <w:vAlign w:val="center"/>
          </w:tcPr>
          <w:p w14:paraId="3EEC9896" w14:textId="4B30676B" w:rsidR="00C300CD" w:rsidRPr="000E063D" w:rsidRDefault="00C300CD" w:rsidP="00C300CD">
            <w:pPr>
              <w:pStyle w:val="TableText"/>
              <w:rPr>
                <w:rFonts w:ascii="Tw Cen MT" w:hAnsi="Tw Cen MT"/>
              </w:rPr>
            </w:pPr>
            <w:r w:rsidRPr="000E063D">
              <w:rPr>
                <w:rFonts w:ascii="Tw Cen MT" w:hAnsi="Tw Cen MT"/>
              </w:rPr>
              <w:t>12%</w:t>
            </w:r>
          </w:p>
        </w:tc>
        <w:tc>
          <w:tcPr>
            <w:tcW w:w="1156" w:type="dxa"/>
            <w:tcBorders>
              <w:top w:val="single" w:sz="4" w:space="0" w:color="auto"/>
              <w:bottom w:val="dashed" w:sz="4" w:space="0" w:color="auto"/>
              <w:right w:val="single" w:sz="4" w:space="0" w:color="auto"/>
            </w:tcBorders>
            <w:vAlign w:val="center"/>
          </w:tcPr>
          <w:p w14:paraId="15A67E8C" w14:textId="1AFC5B33" w:rsidR="00C300CD" w:rsidRPr="000E063D" w:rsidRDefault="00C300CD" w:rsidP="00C300CD">
            <w:pPr>
              <w:pStyle w:val="TableText"/>
              <w:rPr>
                <w:rFonts w:ascii="Tw Cen MT" w:hAnsi="Tw Cen MT"/>
              </w:rPr>
            </w:pPr>
            <w:r w:rsidRPr="000E063D">
              <w:rPr>
                <w:rFonts w:ascii="Tw Cen MT" w:hAnsi="Tw Cen MT"/>
              </w:rPr>
              <w:t>51</w:t>
            </w:r>
          </w:p>
        </w:tc>
        <w:tc>
          <w:tcPr>
            <w:tcW w:w="1156" w:type="dxa"/>
            <w:tcBorders>
              <w:top w:val="single" w:sz="4" w:space="0" w:color="auto"/>
              <w:bottom w:val="dashed" w:sz="4" w:space="0" w:color="auto"/>
              <w:right w:val="single" w:sz="4" w:space="0" w:color="auto"/>
            </w:tcBorders>
          </w:tcPr>
          <w:p w14:paraId="2F518259"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650260BA" w14:textId="77777777" w:rsidR="00C300CD" w:rsidRPr="000E063D" w:rsidRDefault="00C300CD" w:rsidP="00C300CD">
            <w:pPr>
              <w:pStyle w:val="TableText"/>
              <w:rPr>
                <w:rFonts w:ascii="Tw Cen MT" w:hAnsi="Tw Cen MT"/>
              </w:rPr>
            </w:pPr>
          </w:p>
        </w:tc>
      </w:tr>
      <w:tr w:rsidR="00C300CD" w:rsidRPr="000E063D" w14:paraId="122F5AB5"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39484733" w14:textId="77777777" w:rsidR="00C300CD" w:rsidRPr="000E063D" w:rsidRDefault="00C300CD" w:rsidP="00C300CD">
            <w:pPr>
              <w:pStyle w:val="TableText"/>
              <w:rPr>
                <w:rFonts w:ascii="Tw Cen MT" w:hAnsi="Tw Cen MT"/>
              </w:rPr>
            </w:pPr>
            <w:r w:rsidRPr="000E063D">
              <w:rPr>
                <w:rFonts w:ascii="Tw Cen MT" w:hAnsi="Tw Cen MT"/>
              </w:rPr>
              <w:t>4</w:t>
            </w:r>
          </w:p>
        </w:tc>
        <w:tc>
          <w:tcPr>
            <w:tcW w:w="1156" w:type="dxa"/>
            <w:tcBorders>
              <w:top w:val="single" w:sz="4" w:space="0" w:color="auto"/>
              <w:bottom w:val="dashed" w:sz="4" w:space="0" w:color="auto"/>
            </w:tcBorders>
            <w:shd w:val="clear" w:color="auto" w:fill="auto"/>
            <w:vAlign w:val="center"/>
          </w:tcPr>
          <w:p w14:paraId="24E034EA" w14:textId="5E437982" w:rsidR="00C300CD" w:rsidRPr="000E063D" w:rsidRDefault="00C300CD" w:rsidP="00C300CD">
            <w:pPr>
              <w:pStyle w:val="TableText"/>
              <w:rPr>
                <w:rFonts w:ascii="Tw Cen MT" w:hAnsi="Tw Cen MT"/>
              </w:rPr>
            </w:pPr>
            <w:r w:rsidRPr="000E063D">
              <w:rPr>
                <w:rFonts w:ascii="Tw Cen MT" w:hAnsi="Tw Cen MT"/>
              </w:rPr>
              <w:t>10%</w:t>
            </w:r>
          </w:p>
        </w:tc>
        <w:tc>
          <w:tcPr>
            <w:tcW w:w="1156" w:type="dxa"/>
            <w:tcBorders>
              <w:top w:val="single" w:sz="4" w:space="0" w:color="auto"/>
              <w:bottom w:val="dashed" w:sz="4" w:space="0" w:color="auto"/>
              <w:right w:val="single" w:sz="4" w:space="0" w:color="auto"/>
            </w:tcBorders>
            <w:vAlign w:val="center"/>
          </w:tcPr>
          <w:p w14:paraId="485AB020" w14:textId="5D996317" w:rsidR="00C300CD" w:rsidRPr="000E063D" w:rsidRDefault="00C300CD" w:rsidP="00C300CD">
            <w:pPr>
              <w:pStyle w:val="TableText"/>
              <w:rPr>
                <w:rFonts w:ascii="Tw Cen MT" w:hAnsi="Tw Cen MT"/>
              </w:rPr>
            </w:pPr>
            <w:r w:rsidRPr="000E063D">
              <w:rPr>
                <w:rFonts w:ascii="Tw Cen MT" w:hAnsi="Tw Cen MT"/>
              </w:rPr>
              <w:t>49</w:t>
            </w:r>
          </w:p>
        </w:tc>
        <w:tc>
          <w:tcPr>
            <w:tcW w:w="1156" w:type="dxa"/>
            <w:tcBorders>
              <w:top w:val="single" w:sz="4" w:space="0" w:color="auto"/>
              <w:bottom w:val="dashed" w:sz="4" w:space="0" w:color="auto"/>
              <w:right w:val="single" w:sz="4" w:space="0" w:color="auto"/>
            </w:tcBorders>
          </w:tcPr>
          <w:p w14:paraId="5A23A187"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23F89315" w14:textId="77777777" w:rsidR="00C300CD" w:rsidRPr="000E063D" w:rsidRDefault="00C300CD" w:rsidP="00C300CD">
            <w:pPr>
              <w:pStyle w:val="TableText"/>
              <w:rPr>
                <w:rFonts w:ascii="Tw Cen MT" w:hAnsi="Tw Cen MT"/>
              </w:rPr>
            </w:pPr>
          </w:p>
        </w:tc>
      </w:tr>
      <w:tr w:rsidR="00C300CD" w:rsidRPr="000E063D" w14:paraId="5653B1B7" w14:textId="77777777" w:rsidTr="00C300CD">
        <w:trPr>
          <w:jc w:val="center"/>
        </w:trPr>
        <w:tc>
          <w:tcPr>
            <w:tcW w:w="783" w:type="dxa"/>
            <w:tcBorders>
              <w:top w:val="single" w:sz="4" w:space="0" w:color="auto"/>
              <w:left w:val="single" w:sz="4" w:space="0" w:color="auto"/>
              <w:bottom w:val="dashed" w:sz="4" w:space="0" w:color="auto"/>
            </w:tcBorders>
            <w:shd w:val="clear" w:color="auto" w:fill="auto"/>
            <w:vAlign w:val="center"/>
          </w:tcPr>
          <w:p w14:paraId="3DB78F92" w14:textId="77777777" w:rsidR="00C300CD" w:rsidRPr="000E063D" w:rsidRDefault="00C300CD" w:rsidP="00C300CD">
            <w:pPr>
              <w:pStyle w:val="TableText"/>
              <w:rPr>
                <w:rFonts w:ascii="Tw Cen MT" w:hAnsi="Tw Cen MT"/>
              </w:rPr>
            </w:pPr>
            <w:r w:rsidRPr="000E063D">
              <w:rPr>
                <w:rFonts w:ascii="Tw Cen MT" w:hAnsi="Tw Cen MT"/>
              </w:rPr>
              <w:t>5</w:t>
            </w:r>
          </w:p>
        </w:tc>
        <w:tc>
          <w:tcPr>
            <w:tcW w:w="1156" w:type="dxa"/>
            <w:tcBorders>
              <w:top w:val="single" w:sz="4" w:space="0" w:color="auto"/>
              <w:bottom w:val="dashed" w:sz="4" w:space="0" w:color="auto"/>
            </w:tcBorders>
            <w:shd w:val="clear" w:color="auto" w:fill="000000" w:themeFill="text1"/>
            <w:vAlign w:val="center"/>
          </w:tcPr>
          <w:p w14:paraId="460BA842"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4842CC1C"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459D29BC"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3956E9CA" w14:textId="77777777" w:rsidR="00C300CD" w:rsidRPr="000E063D" w:rsidRDefault="00C300CD" w:rsidP="00C300CD">
            <w:pPr>
              <w:pStyle w:val="TableText"/>
              <w:rPr>
                <w:rFonts w:ascii="Tw Cen MT" w:hAnsi="Tw Cen MT"/>
              </w:rPr>
            </w:pPr>
          </w:p>
        </w:tc>
      </w:tr>
      <w:tr w:rsidR="00C300CD" w:rsidRPr="000E063D" w14:paraId="46071BA9" w14:textId="77777777" w:rsidTr="00C300CD">
        <w:trPr>
          <w:jc w:val="center"/>
        </w:trPr>
        <w:tc>
          <w:tcPr>
            <w:tcW w:w="783" w:type="dxa"/>
            <w:tcBorders>
              <w:top w:val="single" w:sz="4" w:space="0" w:color="auto"/>
              <w:left w:val="single" w:sz="4" w:space="0" w:color="auto"/>
              <w:bottom w:val="dashed" w:sz="4" w:space="0" w:color="auto"/>
            </w:tcBorders>
            <w:shd w:val="clear" w:color="auto" w:fill="auto"/>
            <w:vAlign w:val="center"/>
          </w:tcPr>
          <w:p w14:paraId="63D59052" w14:textId="77777777" w:rsidR="00C300CD" w:rsidRPr="000E063D" w:rsidRDefault="00C300CD" w:rsidP="00C300CD">
            <w:pPr>
              <w:pStyle w:val="TableText"/>
              <w:rPr>
                <w:rFonts w:ascii="Tw Cen MT" w:hAnsi="Tw Cen MT"/>
              </w:rPr>
            </w:pPr>
            <w:r w:rsidRPr="000E063D">
              <w:rPr>
                <w:rFonts w:ascii="Tw Cen MT" w:hAnsi="Tw Cen MT"/>
              </w:rPr>
              <w:t>6</w:t>
            </w:r>
          </w:p>
        </w:tc>
        <w:tc>
          <w:tcPr>
            <w:tcW w:w="1156" w:type="dxa"/>
            <w:tcBorders>
              <w:top w:val="single" w:sz="4" w:space="0" w:color="auto"/>
              <w:bottom w:val="dashed" w:sz="4" w:space="0" w:color="auto"/>
            </w:tcBorders>
            <w:shd w:val="clear" w:color="auto" w:fill="000000" w:themeFill="text1"/>
            <w:vAlign w:val="center"/>
          </w:tcPr>
          <w:p w14:paraId="130E87A3"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2F7636A2"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651AA417"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4A15EBE2" w14:textId="77777777" w:rsidR="00C300CD" w:rsidRPr="000E063D" w:rsidRDefault="00C300CD" w:rsidP="00C300CD">
            <w:pPr>
              <w:pStyle w:val="TableText"/>
              <w:rPr>
                <w:rFonts w:ascii="Tw Cen MT" w:hAnsi="Tw Cen MT"/>
              </w:rPr>
            </w:pPr>
          </w:p>
        </w:tc>
      </w:tr>
      <w:tr w:rsidR="00C300CD" w:rsidRPr="000E063D" w14:paraId="06785F84" w14:textId="77777777" w:rsidTr="00C300CD">
        <w:trPr>
          <w:jc w:val="center"/>
        </w:trPr>
        <w:tc>
          <w:tcPr>
            <w:tcW w:w="783" w:type="dxa"/>
            <w:tcBorders>
              <w:top w:val="single" w:sz="4" w:space="0" w:color="auto"/>
              <w:left w:val="single" w:sz="4" w:space="0" w:color="auto"/>
              <w:bottom w:val="dashed" w:sz="4" w:space="0" w:color="auto"/>
            </w:tcBorders>
            <w:shd w:val="clear" w:color="auto" w:fill="auto"/>
            <w:vAlign w:val="center"/>
          </w:tcPr>
          <w:p w14:paraId="19BD0514" w14:textId="77777777" w:rsidR="00C300CD" w:rsidRPr="000E063D" w:rsidRDefault="00C300CD" w:rsidP="00C300CD">
            <w:pPr>
              <w:pStyle w:val="TableText"/>
              <w:rPr>
                <w:rFonts w:ascii="Tw Cen MT" w:hAnsi="Tw Cen MT"/>
              </w:rPr>
            </w:pPr>
            <w:r w:rsidRPr="000E063D">
              <w:rPr>
                <w:rFonts w:ascii="Tw Cen MT" w:hAnsi="Tw Cen MT"/>
              </w:rPr>
              <w:t>7</w:t>
            </w:r>
          </w:p>
        </w:tc>
        <w:tc>
          <w:tcPr>
            <w:tcW w:w="1156" w:type="dxa"/>
            <w:tcBorders>
              <w:top w:val="single" w:sz="4" w:space="0" w:color="auto"/>
              <w:bottom w:val="dashed" w:sz="4" w:space="0" w:color="auto"/>
            </w:tcBorders>
            <w:shd w:val="clear" w:color="auto" w:fill="000000" w:themeFill="text1"/>
            <w:vAlign w:val="center"/>
          </w:tcPr>
          <w:p w14:paraId="03788C36"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shd w:val="clear" w:color="auto" w:fill="000000" w:themeFill="text1"/>
            <w:vAlign w:val="center"/>
          </w:tcPr>
          <w:p w14:paraId="42A7B315"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368E00B3" w14:textId="77777777" w:rsidR="00C300CD" w:rsidRPr="000E063D" w:rsidRDefault="00C300CD" w:rsidP="00C300CD">
            <w:pPr>
              <w:pStyle w:val="TableText"/>
              <w:rPr>
                <w:rFonts w:ascii="Tw Cen MT" w:hAnsi="Tw Cen MT"/>
              </w:rPr>
            </w:pPr>
          </w:p>
        </w:tc>
        <w:tc>
          <w:tcPr>
            <w:tcW w:w="1156" w:type="dxa"/>
            <w:tcBorders>
              <w:top w:val="single" w:sz="4" w:space="0" w:color="auto"/>
              <w:bottom w:val="dashed" w:sz="4" w:space="0" w:color="auto"/>
              <w:right w:val="single" w:sz="4" w:space="0" w:color="auto"/>
            </w:tcBorders>
          </w:tcPr>
          <w:p w14:paraId="00BDA53A" w14:textId="77777777" w:rsidR="00C300CD" w:rsidRPr="000E063D" w:rsidRDefault="00C300CD" w:rsidP="00C300CD">
            <w:pPr>
              <w:pStyle w:val="TableText"/>
              <w:rPr>
                <w:rFonts w:ascii="Tw Cen MT" w:hAnsi="Tw Cen MT"/>
              </w:rPr>
            </w:pPr>
          </w:p>
        </w:tc>
      </w:tr>
      <w:tr w:rsidR="00C300CD" w:rsidRPr="000E063D" w14:paraId="58A7E647" w14:textId="77777777" w:rsidTr="00C300CD">
        <w:trPr>
          <w:jc w:val="center"/>
        </w:trPr>
        <w:tc>
          <w:tcPr>
            <w:tcW w:w="783" w:type="dxa"/>
            <w:tcBorders>
              <w:top w:val="single" w:sz="4" w:space="0" w:color="auto"/>
              <w:left w:val="single" w:sz="4" w:space="0" w:color="auto"/>
              <w:bottom w:val="double" w:sz="4" w:space="0" w:color="auto"/>
            </w:tcBorders>
            <w:shd w:val="clear" w:color="auto" w:fill="auto"/>
            <w:vAlign w:val="center"/>
          </w:tcPr>
          <w:p w14:paraId="52F4FC55" w14:textId="77777777" w:rsidR="00C300CD" w:rsidRPr="000E063D" w:rsidRDefault="00C300CD" w:rsidP="00C300CD">
            <w:pPr>
              <w:pStyle w:val="TableText"/>
              <w:rPr>
                <w:rFonts w:ascii="Tw Cen MT" w:hAnsi="Tw Cen MT"/>
              </w:rPr>
            </w:pPr>
            <w:r w:rsidRPr="000E063D">
              <w:rPr>
                <w:rFonts w:ascii="Tw Cen MT" w:hAnsi="Tw Cen MT"/>
              </w:rPr>
              <w:t>8</w:t>
            </w:r>
          </w:p>
        </w:tc>
        <w:tc>
          <w:tcPr>
            <w:tcW w:w="1156" w:type="dxa"/>
            <w:tcBorders>
              <w:top w:val="single" w:sz="4" w:space="0" w:color="auto"/>
              <w:bottom w:val="double" w:sz="4" w:space="0" w:color="auto"/>
            </w:tcBorders>
            <w:shd w:val="clear" w:color="auto" w:fill="000000" w:themeFill="text1"/>
            <w:vAlign w:val="center"/>
          </w:tcPr>
          <w:p w14:paraId="1B8122C1" w14:textId="77777777" w:rsidR="00C300CD" w:rsidRPr="000E063D" w:rsidRDefault="00C300CD" w:rsidP="00C300CD">
            <w:pPr>
              <w:pStyle w:val="TableText"/>
              <w:rPr>
                <w:rFonts w:ascii="Tw Cen MT" w:hAnsi="Tw Cen MT"/>
              </w:rPr>
            </w:pPr>
          </w:p>
        </w:tc>
        <w:tc>
          <w:tcPr>
            <w:tcW w:w="1156" w:type="dxa"/>
            <w:tcBorders>
              <w:top w:val="single" w:sz="4" w:space="0" w:color="auto"/>
              <w:bottom w:val="double" w:sz="4" w:space="0" w:color="auto"/>
              <w:right w:val="single" w:sz="4" w:space="0" w:color="auto"/>
            </w:tcBorders>
            <w:shd w:val="clear" w:color="auto" w:fill="000000" w:themeFill="text1"/>
            <w:vAlign w:val="center"/>
          </w:tcPr>
          <w:p w14:paraId="441F007C" w14:textId="77777777" w:rsidR="00C300CD" w:rsidRPr="000E063D" w:rsidRDefault="00C300CD" w:rsidP="00C300CD">
            <w:pPr>
              <w:pStyle w:val="TableText"/>
              <w:rPr>
                <w:rFonts w:ascii="Tw Cen MT" w:hAnsi="Tw Cen MT"/>
              </w:rPr>
            </w:pPr>
          </w:p>
        </w:tc>
        <w:tc>
          <w:tcPr>
            <w:tcW w:w="1156" w:type="dxa"/>
            <w:tcBorders>
              <w:top w:val="single" w:sz="4" w:space="0" w:color="auto"/>
              <w:bottom w:val="double" w:sz="4" w:space="0" w:color="auto"/>
              <w:right w:val="single" w:sz="4" w:space="0" w:color="auto"/>
            </w:tcBorders>
          </w:tcPr>
          <w:p w14:paraId="74625BA0" w14:textId="77777777" w:rsidR="00C300CD" w:rsidRPr="000E063D" w:rsidRDefault="00C300CD" w:rsidP="00C300CD">
            <w:pPr>
              <w:pStyle w:val="TableText"/>
              <w:rPr>
                <w:rFonts w:ascii="Tw Cen MT" w:hAnsi="Tw Cen MT"/>
              </w:rPr>
            </w:pPr>
          </w:p>
        </w:tc>
        <w:tc>
          <w:tcPr>
            <w:tcW w:w="1156" w:type="dxa"/>
            <w:tcBorders>
              <w:top w:val="single" w:sz="4" w:space="0" w:color="auto"/>
              <w:bottom w:val="double" w:sz="4" w:space="0" w:color="auto"/>
              <w:right w:val="single" w:sz="4" w:space="0" w:color="auto"/>
            </w:tcBorders>
          </w:tcPr>
          <w:p w14:paraId="7C620D5F" w14:textId="77777777" w:rsidR="00C300CD" w:rsidRPr="000E063D" w:rsidRDefault="00C300CD" w:rsidP="00C300CD">
            <w:pPr>
              <w:pStyle w:val="TableText"/>
              <w:rPr>
                <w:rFonts w:ascii="Tw Cen MT" w:hAnsi="Tw Cen MT"/>
              </w:rPr>
            </w:pPr>
          </w:p>
        </w:tc>
      </w:tr>
      <w:tr w:rsidR="00C300CD" w:rsidRPr="000E063D" w14:paraId="05A55A49" w14:textId="77777777" w:rsidTr="003E2DCF">
        <w:trPr>
          <w:jc w:val="center"/>
        </w:trPr>
        <w:tc>
          <w:tcPr>
            <w:tcW w:w="783" w:type="dxa"/>
            <w:tcBorders>
              <w:top w:val="double" w:sz="4" w:space="0" w:color="auto"/>
              <w:left w:val="single" w:sz="4" w:space="0" w:color="auto"/>
              <w:bottom w:val="double" w:sz="4" w:space="0" w:color="auto"/>
            </w:tcBorders>
            <w:shd w:val="clear" w:color="auto" w:fill="auto"/>
            <w:vAlign w:val="center"/>
          </w:tcPr>
          <w:p w14:paraId="3C3A19DE" w14:textId="77777777" w:rsidR="00C300CD" w:rsidRPr="000E063D" w:rsidRDefault="00C300CD" w:rsidP="00C300CD">
            <w:pPr>
              <w:pStyle w:val="TableText"/>
              <w:rPr>
                <w:rFonts w:ascii="Tw Cen MT" w:hAnsi="Tw Cen MT"/>
              </w:rPr>
            </w:pPr>
            <w:r w:rsidRPr="000E063D">
              <w:rPr>
                <w:rFonts w:ascii="Tw Cen MT" w:hAnsi="Tw Cen MT"/>
              </w:rPr>
              <w:t>All</w:t>
            </w:r>
          </w:p>
        </w:tc>
        <w:tc>
          <w:tcPr>
            <w:tcW w:w="1156" w:type="dxa"/>
            <w:tcBorders>
              <w:top w:val="double" w:sz="4" w:space="0" w:color="auto"/>
              <w:bottom w:val="double" w:sz="4" w:space="0" w:color="auto"/>
            </w:tcBorders>
            <w:shd w:val="clear" w:color="auto" w:fill="auto"/>
            <w:vAlign w:val="center"/>
          </w:tcPr>
          <w:p w14:paraId="1BFF3EF4" w14:textId="694BF090" w:rsidR="00C300CD" w:rsidRPr="000E063D" w:rsidRDefault="00C300CD" w:rsidP="00C300CD">
            <w:pPr>
              <w:pStyle w:val="TableText"/>
              <w:rPr>
                <w:rFonts w:ascii="Tw Cen MT" w:hAnsi="Tw Cen MT"/>
              </w:rPr>
            </w:pPr>
            <w:r w:rsidRPr="000E063D">
              <w:rPr>
                <w:rFonts w:ascii="Tw Cen MT" w:hAnsi="Tw Cen MT"/>
              </w:rPr>
              <w:t>12%</w:t>
            </w:r>
          </w:p>
        </w:tc>
        <w:tc>
          <w:tcPr>
            <w:tcW w:w="1156" w:type="dxa"/>
            <w:tcBorders>
              <w:top w:val="double" w:sz="4" w:space="0" w:color="auto"/>
              <w:bottom w:val="double" w:sz="4" w:space="0" w:color="auto"/>
              <w:right w:val="single" w:sz="4" w:space="0" w:color="auto"/>
            </w:tcBorders>
            <w:vAlign w:val="center"/>
          </w:tcPr>
          <w:p w14:paraId="2A1EE04C" w14:textId="2158B0F6" w:rsidR="00C300CD" w:rsidRPr="000E063D" w:rsidRDefault="00C300CD" w:rsidP="00C300CD">
            <w:pPr>
              <w:pStyle w:val="TableText"/>
              <w:rPr>
                <w:rFonts w:ascii="Tw Cen MT" w:hAnsi="Tw Cen MT"/>
              </w:rPr>
            </w:pPr>
            <w:r w:rsidRPr="000E063D">
              <w:rPr>
                <w:rFonts w:ascii="Tw Cen MT" w:hAnsi="Tw Cen MT"/>
              </w:rPr>
              <w:t>100</w:t>
            </w:r>
          </w:p>
        </w:tc>
        <w:tc>
          <w:tcPr>
            <w:tcW w:w="1156" w:type="dxa"/>
            <w:tcBorders>
              <w:top w:val="double" w:sz="4" w:space="0" w:color="auto"/>
              <w:bottom w:val="double" w:sz="4" w:space="0" w:color="auto"/>
              <w:right w:val="single" w:sz="4" w:space="0" w:color="auto"/>
            </w:tcBorders>
          </w:tcPr>
          <w:p w14:paraId="7D8F8C49" w14:textId="77777777" w:rsidR="00C300CD" w:rsidRPr="000E063D" w:rsidRDefault="00C300CD" w:rsidP="00C300CD">
            <w:pPr>
              <w:pStyle w:val="TableText"/>
              <w:rPr>
                <w:rFonts w:ascii="Tw Cen MT" w:hAnsi="Tw Cen MT"/>
              </w:rPr>
            </w:pPr>
          </w:p>
        </w:tc>
        <w:tc>
          <w:tcPr>
            <w:tcW w:w="1156" w:type="dxa"/>
            <w:tcBorders>
              <w:top w:val="double" w:sz="4" w:space="0" w:color="auto"/>
              <w:bottom w:val="double" w:sz="4" w:space="0" w:color="auto"/>
              <w:right w:val="single" w:sz="4" w:space="0" w:color="auto"/>
            </w:tcBorders>
          </w:tcPr>
          <w:p w14:paraId="0705D412" w14:textId="77777777" w:rsidR="00C300CD" w:rsidRPr="000E063D" w:rsidRDefault="00C300CD" w:rsidP="00C300CD">
            <w:pPr>
              <w:pStyle w:val="TableText"/>
              <w:rPr>
                <w:rFonts w:ascii="Tw Cen MT" w:hAnsi="Tw Cen MT"/>
              </w:rPr>
            </w:pPr>
          </w:p>
        </w:tc>
      </w:tr>
    </w:tbl>
    <w:p w14:paraId="7C96CC79" w14:textId="77777777" w:rsidR="00CA302E" w:rsidRPr="000E063D" w:rsidRDefault="00CA302E" w:rsidP="00CA302E">
      <w:pPr>
        <w:rPr>
          <w:rFonts w:ascii="Tw Cen MT" w:hAnsi="Tw Cen MT"/>
          <w:szCs w:val="23"/>
        </w:rPr>
      </w:pPr>
    </w:p>
    <w:p w14:paraId="402F285B" w14:textId="46A6EC36" w:rsidR="00CA302E" w:rsidRPr="000E063D" w:rsidRDefault="00CA302E" w:rsidP="00CA302E">
      <w:pPr>
        <w:pStyle w:val="MeasureTitle"/>
        <w:rPr>
          <w:rFonts w:ascii="Tw Cen MT" w:hAnsi="Tw Cen MT"/>
        </w:rPr>
      </w:pPr>
      <w:r w:rsidRPr="000E063D">
        <w:rPr>
          <w:rFonts w:ascii="Tw Cen MT" w:hAnsi="Tw Cen MT"/>
        </w:rPr>
        <w:t xml:space="preserve">Goal </w:t>
      </w:r>
      <w:r w:rsidR="00721CCA" w:rsidRPr="000E063D">
        <w:rPr>
          <w:rFonts w:ascii="Tw Cen MT" w:hAnsi="Tw Cen MT"/>
        </w:rPr>
        <w:t>2</w:t>
      </w:r>
      <w:r w:rsidRPr="000E063D">
        <w:rPr>
          <w:rFonts w:ascii="Tw Cen MT" w:hAnsi="Tw Cen MT"/>
        </w:rPr>
        <w:t>: Comparative Measure</w:t>
      </w:r>
    </w:p>
    <w:p w14:paraId="6C2C0233" w14:textId="73218ACF" w:rsidR="00CA302E" w:rsidRPr="000E063D" w:rsidRDefault="00CA302E" w:rsidP="00CA302E">
      <w:pPr>
        <w:pStyle w:val="MeasureText"/>
        <w:rPr>
          <w:rFonts w:ascii="Tw Cen MT" w:hAnsi="Tw Cen MT"/>
          <w:i/>
        </w:rPr>
      </w:pPr>
      <w:r w:rsidRPr="000E063D">
        <w:rPr>
          <w:rFonts w:ascii="Tw Cen MT" w:hAnsi="Tw Cen MT"/>
        </w:rPr>
        <w:t xml:space="preserve">Each year, the school will exceed its predicted level of performance on the state </w:t>
      </w:r>
      <w:r w:rsidR="0024329C" w:rsidRPr="000E063D">
        <w:rPr>
          <w:rFonts w:ascii="Tw Cen MT" w:hAnsi="Tw Cen MT"/>
        </w:rPr>
        <w:t xml:space="preserve">mathematics </w:t>
      </w:r>
      <w:r w:rsidRPr="000E063D">
        <w:rPr>
          <w:rFonts w:ascii="Tw Cen MT" w:hAnsi="Tw Cen MT"/>
        </w:rPr>
        <w:t xml:space="preserve">exam by </w:t>
      </w:r>
      <w:r w:rsidRPr="000E063D">
        <w:rPr>
          <w:rFonts w:ascii="Tw Cen MT" w:hAnsi="Tw Cen MT"/>
          <w:sz w:val="24"/>
          <w:szCs w:val="24"/>
        </w:rPr>
        <w:t xml:space="preserve">an effect size of 0.3 or above (performing higher than expected to a meaningful degree) </w:t>
      </w:r>
      <w:r w:rsidRPr="000E063D">
        <w:rPr>
          <w:rFonts w:ascii="Tw Cen MT" w:hAnsi="Tw Cen MT"/>
        </w:rPr>
        <w:t>according to a regression analysis controlling for economically disadvantaged students among all public schools in New York State.</w:t>
      </w:r>
    </w:p>
    <w:p w14:paraId="6F5D41E1" w14:textId="77777777" w:rsidR="00CA302E" w:rsidRPr="000E063D" w:rsidRDefault="00CA302E" w:rsidP="00AB35E7">
      <w:pPr>
        <w:jc w:val="both"/>
        <w:rPr>
          <w:rFonts w:ascii="Tw Cen MT" w:hAnsi="Tw Cen MT"/>
        </w:rPr>
      </w:pPr>
      <w:r w:rsidRPr="000E063D">
        <w:rPr>
          <w:rFonts w:ascii="Tw Cen MT" w:hAnsi="Tw Cen MT"/>
        </w:rPr>
        <w:t xml:space="preserve">The Institute conducts a comparative performance analysis which compares the school’s performance to that of demographically similar public schools statewide.  Given the timing of the state’s release of data necessary to produce this analysis, the 2021-22 results are not yet available. </w:t>
      </w:r>
    </w:p>
    <w:p w14:paraId="67B54F8B" w14:textId="77777777" w:rsidR="00CA302E" w:rsidRPr="000E063D" w:rsidRDefault="00CA302E" w:rsidP="00AB35E7">
      <w:pPr>
        <w:jc w:val="both"/>
        <w:rPr>
          <w:rFonts w:ascii="Tw Cen MT" w:hAnsi="Tw Cen MT"/>
        </w:rPr>
      </w:pPr>
      <w:r w:rsidRPr="000E063D">
        <w:rPr>
          <w:rFonts w:ascii="Tw Cen MT" w:hAnsi="Tw Cen MT"/>
        </w:rPr>
        <w:t xml:space="preserve">As such, The Institute does not require charters to report on this measure for 2021-22. </w:t>
      </w:r>
    </w:p>
    <w:p w14:paraId="31B97C9C" w14:textId="57A5A959" w:rsidR="00CA302E" w:rsidRPr="000E063D" w:rsidRDefault="00CA302E" w:rsidP="00CA302E">
      <w:pPr>
        <w:pStyle w:val="MeasureTitle"/>
        <w:rPr>
          <w:rFonts w:ascii="Tw Cen MT" w:hAnsi="Tw Cen MT"/>
        </w:rPr>
      </w:pPr>
      <w:r w:rsidRPr="000E063D">
        <w:rPr>
          <w:rFonts w:ascii="Tw Cen MT" w:hAnsi="Tw Cen MT"/>
        </w:rPr>
        <w:t xml:space="preserve">Goal </w:t>
      </w:r>
      <w:r w:rsidR="00721CCA" w:rsidRPr="000E063D">
        <w:rPr>
          <w:rFonts w:ascii="Tw Cen MT" w:hAnsi="Tw Cen MT"/>
        </w:rPr>
        <w:t>2</w:t>
      </w:r>
      <w:r w:rsidRPr="000E063D">
        <w:rPr>
          <w:rFonts w:ascii="Tw Cen MT" w:hAnsi="Tw Cen MT"/>
        </w:rPr>
        <w:t>: Growth Measure</w:t>
      </w:r>
    </w:p>
    <w:p w14:paraId="33EE42D7" w14:textId="737E90AE" w:rsidR="00CA302E" w:rsidRPr="000E063D" w:rsidRDefault="00CA302E" w:rsidP="00CA302E">
      <w:pPr>
        <w:pStyle w:val="MeasureText"/>
        <w:rPr>
          <w:rFonts w:ascii="Tw Cen MT" w:hAnsi="Tw Cen MT"/>
        </w:rPr>
      </w:pPr>
      <w:r w:rsidRPr="000E063D">
        <w:rPr>
          <w:rFonts w:ascii="Tw Cen MT" w:hAnsi="Tw Cen MT"/>
        </w:rPr>
        <w:t xml:space="preserve">Each year, under the state’s Growth Model, the school’s mean unadjusted growth percentile in </w:t>
      </w:r>
      <w:r w:rsidR="0024329C" w:rsidRPr="000E063D">
        <w:rPr>
          <w:rFonts w:ascii="Tw Cen MT" w:hAnsi="Tw Cen MT"/>
        </w:rPr>
        <w:t xml:space="preserve">mathematics </w:t>
      </w:r>
      <w:r w:rsidRPr="000E063D">
        <w:rPr>
          <w:rFonts w:ascii="Tw Cen MT" w:hAnsi="Tw Cen MT"/>
        </w:rPr>
        <w:t xml:space="preserve">for all tested students in grades 4-8 will be above the target of 50.  </w:t>
      </w:r>
    </w:p>
    <w:p w14:paraId="1F18EE98" w14:textId="0298D8AC" w:rsidR="00642854" w:rsidRPr="00160F30" w:rsidRDefault="00CA302E" w:rsidP="00642854">
      <w:pPr>
        <w:rPr>
          <w:rFonts w:ascii="Tw Cen MT" w:hAnsi="Tw Cen MT"/>
        </w:rPr>
      </w:pPr>
      <w:r w:rsidRPr="000E063D">
        <w:rPr>
          <w:rFonts w:ascii="Tw Cen MT" w:hAnsi="Tw Cen MT"/>
        </w:rPr>
        <w:t xml:space="preserve">The Institute does not require charters to report on this measure for 2021-22. </w:t>
      </w:r>
    </w:p>
    <w:p w14:paraId="08F61757" w14:textId="77777777" w:rsidR="00642854" w:rsidRDefault="00642854" w:rsidP="00CA302E">
      <w:pPr>
        <w:pStyle w:val="Heading2"/>
        <w:rPr>
          <w:rFonts w:ascii="Tw Cen MT" w:eastAsia="Calibri" w:hAnsi="Tw Cen MT" w:cs="Calibri"/>
          <w:bCs w:val="0"/>
          <w:color w:val="365F91" w:themeColor="accent1" w:themeShade="BF"/>
          <w:szCs w:val="28"/>
        </w:rPr>
      </w:pPr>
    </w:p>
    <w:p w14:paraId="153B5C17" w14:textId="78164230" w:rsidR="00CA302E" w:rsidRPr="000E063D" w:rsidRDefault="00CA302E" w:rsidP="00CA302E">
      <w:pPr>
        <w:pStyle w:val="Heading2"/>
        <w:rPr>
          <w:rFonts w:ascii="Tw Cen MT" w:hAnsi="Tw Cen MT"/>
        </w:rPr>
      </w:pPr>
      <w:r w:rsidRPr="000E063D">
        <w:rPr>
          <w:rFonts w:ascii="Tw Cen MT" w:eastAsia="Calibri" w:hAnsi="Tw Cen MT" w:cs="Calibri"/>
          <w:bCs w:val="0"/>
          <w:color w:val="365F91" w:themeColor="accent1" w:themeShade="BF"/>
          <w:szCs w:val="28"/>
        </w:rPr>
        <w:t>INternal exam results</w:t>
      </w:r>
    </w:p>
    <w:p w14:paraId="79515B90" w14:textId="67E0E79C" w:rsidR="00CA302E" w:rsidRPr="000E063D" w:rsidRDefault="00CA302E" w:rsidP="00CA302E">
      <w:pPr>
        <w:rPr>
          <w:rFonts w:ascii="Tw Cen MT" w:eastAsia="Calibri" w:hAnsi="Tw Cen MT" w:cs="Calibri"/>
          <w:szCs w:val="23"/>
        </w:rPr>
      </w:pPr>
      <w:r w:rsidRPr="000E063D">
        <w:rPr>
          <w:rFonts w:ascii="Tw Cen MT" w:eastAsia="Calibri" w:hAnsi="Tw Cen MT" w:cs="Calibri"/>
          <w:szCs w:val="23"/>
        </w:rPr>
        <w:t>During 2021-22, in addition to the New York State 3</w:t>
      </w:r>
      <w:r w:rsidRPr="000E063D">
        <w:rPr>
          <w:rFonts w:ascii="Tw Cen MT" w:eastAsia="Calibri" w:hAnsi="Tw Cen MT" w:cs="Calibri"/>
          <w:szCs w:val="23"/>
          <w:vertAlign w:val="superscript"/>
        </w:rPr>
        <w:t>rd</w:t>
      </w:r>
      <w:r w:rsidRPr="000E063D">
        <w:rPr>
          <w:rFonts w:ascii="Tw Cen MT" w:eastAsia="Calibri" w:hAnsi="Tw Cen MT" w:cs="Calibri"/>
          <w:szCs w:val="23"/>
        </w:rPr>
        <w:t>- 8</w:t>
      </w:r>
      <w:r w:rsidRPr="000E063D">
        <w:rPr>
          <w:rFonts w:ascii="Tw Cen MT" w:eastAsia="Calibri" w:hAnsi="Tw Cen MT" w:cs="Calibri"/>
          <w:szCs w:val="23"/>
          <w:vertAlign w:val="superscript"/>
        </w:rPr>
        <w:t>th</w:t>
      </w:r>
      <w:r w:rsidRPr="000E063D">
        <w:rPr>
          <w:rFonts w:ascii="Tw Cen MT" w:eastAsia="Calibri" w:hAnsi="Tw Cen MT" w:cs="Calibri"/>
          <w:szCs w:val="23"/>
        </w:rPr>
        <w:t xml:space="preserve"> grade exams, the school(s) primarily used the following assessment to measure student growth and achievement in </w:t>
      </w:r>
      <w:r w:rsidR="00F5447F" w:rsidRPr="000E063D">
        <w:rPr>
          <w:rFonts w:ascii="Tw Cen MT" w:eastAsia="Calibri" w:hAnsi="Tw Cen MT" w:cs="Calibri"/>
          <w:szCs w:val="23"/>
        </w:rPr>
        <w:t>mathematics</w:t>
      </w:r>
      <w:r w:rsidRPr="000E063D">
        <w:rPr>
          <w:rFonts w:ascii="Tw Cen MT" w:eastAsia="Calibri" w:hAnsi="Tw Cen MT" w:cs="Calibri"/>
          <w:szCs w:val="23"/>
        </w:rPr>
        <w:t xml:space="preserve">:  </w:t>
      </w:r>
      <w:sdt>
        <w:sdtPr>
          <w:rPr>
            <w:rFonts w:ascii="Tw Cen MT" w:eastAsia="Calibri" w:hAnsi="Tw Cen MT" w:cs="Calibri"/>
            <w:sz w:val="28"/>
            <w:szCs w:val="28"/>
          </w:rPr>
          <w:tag w:val="select one exam"/>
          <w:id w:val="-408997417"/>
          <w:placeholder>
            <w:docPart w:val="0809324E3EB9450C8856DD3C0C02271A"/>
          </w:placeholder>
          <w:dropDownList>
            <w:listItem w:value="Choose assessment type"/>
            <w:listItem w:displayText="NWEA MAP" w:value="NWEA MAP"/>
            <w:listItem w:displayText="i-Ready" w:value="i-Ready"/>
            <w:listItem w:displayText="STAR" w:value="STAR"/>
            <w:listItem w:displayText="ANET" w:value="ANET"/>
            <w:listItem w:displayText="Internally developed" w:value="Internally developed"/>
            <w:listItem w:displayText="Curriculum based" w:value="Curriculum based"/>
            <w:listItem w:displayText="Other" w:value="Other"/>
          </w:dropDownList>
        </w:sdtPr>
        <w:sdtContent>
          <w:r w:rsidR="0037774D">
            <w:rPr>
              <w:rFonts w:ascii="Tw Cen MT" w:eastAsia="Calibri" w:hAnsi="Tw Cen MT" w:cs="Calibri"/>
              <w:sz w:val="28"/>
              <w:szCs w:val="28"/>
            </w:rPr>
            <w:t>NWEA MAP</w:t>
          </w:r>
        </w:sdtContent>
      </w:sdt>
      <w:r w:rsidRPr="000E063D">
        <w:rPr>
          <w:rFonts w:ascii="Tw Cen MT" w:eastAsia="Calibri" w:hAnsi="Tw Cen MT" w:cs="Calibri"/>
          <w:szCs w:val="23"/>
        </w:rPr>
        <w:t xml:space="preserve"> </w:t>
      </w:r>
    </w:p>
    <w:p w14:paraId="5DBF351A" w14:textId="45B9EF99" w:rsidR="007C591A" w:rsidRPr="000E063D" w:rsidRDefault="007C591A" w:rsidP="007C591A">
      <w:pPr>
        <w:widowControl w:val="0"/>
        <w:shd w:val="clear" w:color="auto" w:fill="8DB3E2"/>
        <w:spacing w:after="40"/>
        <w:jc w:val="center"/>
        <w:rPr>
          <w:rFonts w:ascii="Tw Cen MT" w:hAnsi="Tw Cen MT"/>
          <w:color w:val="FFFFFF"/>
        </w:rPr>
      </w:pPr>
      <w:r w:rsidRPr="000E063D">
        <w:rPr>
          <w:rFonts w:ascii="Tw Cen MT" w:hAnsi="Tw Cen MT"/>
          <w:color w:val="FFFFFF"/>
        </w:rPr>
        <w:t>2021-22 NWEA MAP Mathematics Assessment End of Year Results</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45"/>
        <w:gridCol w:w="810"/>
        <w:gridCol w:w="810"/>
        <w:gridCol w:w="900"/>
        <w:gridCol w:w="990"/>
      </w:tblGrid>
      <w:tr w:rsidR="007C591A" w:rsidRPr="000E063D" w14:paraId="218B73C4" w14:textId="77777777" w:rsidTr="002D4995">
        <w:trPr>
          <w:cantSplit/>
          <w:trHeight w:val="611"/>
          <w:jc w:val="center"/>
        </w:trPr>
        <w:tc>
          <w:tcPr>
            <w:tcW w:w="4500" w:type="dxa"/>
            <w:vAlign w:val="center"/>
          </w:tcPr>
          <w:p w14:paraId="0B650A2E"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Measure</w:t>
            </w:r>
          </w:p>
        </w:tc>
        <w:tc>
          <w:tcPr>
            <w:tcW w:w="1345" w:type="dxa"/>
            <w:vAlign w:val="center"/>
          </w:tcPr>
          <w:p w14:paraId="3E44311F"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Subgroup</w:t>
            </w:r>
          </w:p>
        </w:tc>
        <w:tc>
          <w:tcPr>
            <w:tcW w:w="810" w:type="dxa"/>
            <w:vAlign w:val="center"/>
          </w:tcPr>
          <w:p w14:paraId="591D44C2"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 xml:space="preserve">Target </w:t>
            </w:r>
          </w:p>
        </w:tc>
        <w:tc>
          <w:tcPr>
            <w:tcW w:w="810" w:type="dxa"/>
            <w:vAlign w:val="center"/>
          </w:tcPr>
          <w:p w14:paraId="52E39FCA"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Tested</w:t>
            </w:r>
          </w:p>
        </w:tc>
        <w:tc>
          <w:tcPr>
            <w:tcW w:w="900" w:type="dxa"/>
            <w:vAlign w:val="center"/>
          </w:tcPr>
          <w:p w14:paraId="0175F602"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Results</w:t>
            </w:r>
          </w:p>
        </w:tc>
        <w:tc>
          <w:tcPr>
            <w:tcW w:w="990" w:type="dxa"/>
            <w:vAlign w:val="center"/>
          </w:tcPr>
          <w:p w14:paraId="256B543D"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Met?</w:t>
            </w:r>
          </w:p>
        </w:tc>
      </w:tr>
      <w:tr w:rsidR="007C591A" w:rsidRPr="000E063D" w14:paraId="48BFFAC7" w14:textId="77777777" w:rsidTr="002D4995">
        <w:trPr>
          <w:cantSplit/>
          <w:trHeight w:val="305"/>
          <w:jc w:val="center"/>
        </w:trPr>
        <w:tc>
          <w:tcPr>
            <w:tcW w:w="4500" w:type="dxa"/>
            <w:tcBorders>
              <w:bottom w:val="single" w:sz="4" w:space="0" w:color="auto"/>
            </w:tcBorders>
            <w:vAlign w:val="center"/>
          </w:tcPr>
          <w:p w14:paraId="7DE4EFBE" w14:textId="77777777" w:rsidR="007C591A" w:rsidRPr="000E063D" w:rsidRDefault="007C591A" w:rsidP="002D4995">
            <w:pPr>
              <w:spacing w:after="0"/>
              <w:rPr>
                <w:rFonts w:ascii="Tw Cen MT" w:hAnsi="Tw Cen MT"/>
                <w:color w:val="404040"/>
                <w:sz w:val="20"/>
              </w:rPr>
            </w:pPr>
            <w:r w:rsidRPr="000E063D">
              <w:rPr>
                <w:rFonts w:ascii="Tw Cen MT" w:eastAsia="Calibri" w:hAnsi="Tw Cen MT" w:cs="Calibri"/>
                <w:color w:val="auto"/>
                <w:sz w:val="22"/>
                <w:szCs w:val="22"/>
              </w:rPr>
              <w:t>Measure 1: Each year, the school's median growth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percentile</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 xml:space="preserve">of all </w:t>
            </w:r>
            <w:proofErr w:type="gramStart"/>
            <w:r w:rsidRPr="000E063D">
              <w:rPr>
                <w:rFonts w:ascii="Tw Cen MT" w:eastAsia="Calibri" w:hAnsi="Tw Cen MT" w:cs="Calibri"/>
                <w:color w:val="auto"/>
                <w:sz w:val="22"/>
                <w:szCs w:val="22"/>
              </w:rPr>
              <w:t>3</w:t>
            </w:r>
            <w:r w:rsidRPr="000E063D">
              <w:rPr>
                <w:rFonts w:ascii="Tw Cen MT" w:eastAsia="Calibri" w:hAnsi="Tw Cen MT" w:cs="Calibri"/>
                <w:color w:val="auto"/>
                <w:sz w:val="22"/>
                <w:szCs w:val="22"/>
                <w:vertAlign w:val="superscript"/>
              </w:rPr>
              <w:t>rd</w:t>
            </w:r>
            <w:proofErr w:type="gramEnd"/>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will be greater than</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50.</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 xml:space="preserve"> Student growth is the difference between the beginning of year score and the end of year score.</w:t>
            </w:r>
            <w:r w:rsidRPr="000E063D">
              <w:rPr>
                <w:rFonts w:ascii="Arial" w:eastAsia="Calibri" w:hAnsi="Arial" w:cs="Arial"/>
                <w:color w:val="auto"/>
                <w:sz w:val="22"/>
                <w:szCs w:val="22"/>
              </w:rPr>
              <w:t> </w:t>
            </w:r>
          </w:p>
        </w:tc>
        <w:tc>
          <w:tcPr>
            <w:tcW w:w="1345" w:type="dxa"/>
            <w:tcBorders>
              <w:bottom w:val="single" w:sz="4" w:space="0" w:color="auto"/>
            </w:tcBorders>
            <w:vAlign w:val="center"/>
          </w:tcPr>
          <w:p w14:paraId="52CE43CC"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All students</w:t>
            </w:r>
          </w:p>
        </w:tc>
        <w:tc>
          <w:tcPr>
            <w:tcW w:w="810" w:type="dxa"/>
            <w:vAlign w:val="center"/>
          </w:tcPr>
          <w:p w14:paraId="4E0BBD67"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50</w:t>
            </w:r>
          </w:p>
        </w:tc>
        <w:tc>
          <w:tcPr>
            <w:tcW w:w="810" w:type="dxa"/>
            <w:vAlign w:val="center"/>
          </w:tcPr>
          <w:p w14:paraId="336DFF85" w14:textId="0F4EC674" w:rsidR="007C591A" w:rsidRPr="000E063D" w:rsidRDefault="006E22D7" w:rsidP="002D4995">
            <w:pPr>
              <w:spacing w:after="0"/>
              <w:jc w:val="center"/>
              <w:rPr>
                <w:rFonts w:ascii="Tw Cen MT" w:hAnsi="Tw Cen MT"/>
                <w:color w:val="404040"/>
                <w:sz w:val="20"/>
              </w:rPr>
            </w:pPr>
            <w:r>
              <w:rPr>
                <w:rFonts w:ascii="Tw Cen MT" w:hAnsi="Tw Cen MT"/>
                <w:color w:val="404040"/>
                <w:sz w:val="20"/>
              </w:rPr>
              <w:t>103</w:t>
            </w:r>
          </w:p>
        </w:tc>
        <w:tc>
          <w:tcPr>
            <w:tcW w:w="900" w:type="dxa"/>
            <w:vAlign w:val="center"/>
          </w:tcPr>
          <w:p w14:paraId="1DF068C3" w14:textId="7A402575" w:rsidR="007C591A" w:rsidRPr="000E063D" w:rsidRDefault="006E22D7" w:rsidP="002D4995">
            <w:pPr>
              <w:spacing w:after="0"/>
              <w:jc w:val="center"/>
              <w:rPr>
                <w:rFonts w:ascii="Tw Cen MT" w:hAnsi="Tw Cen MT"/>
                <w:color w:val="404040"/>
                <w:sz w:val="20"/>
              </w:rPr>
            </w:pPr>
            <w:r>
              <w:rPr>
                <w:rFonts w:ascii="Tw Cen MT" w:hAnsi="Tw Cen MT"/>
                <w:color w:val="404040"/>
                <w:sz w:val="20"/>
              </w:rPr>
              <w:t>64</w:t>
            </w:r>
          </w:p>
        </w:tc>
        <w:tc>
          <w:tcPr>
            <w:tcW w:w="990" w:type="dxa"/>
            <w:vAlign w:val="center"/>
          </w:tcPr>
          <w:p w14:paraId="2AEFB358" w14:textId="338DCB2B" w:rsidR="007C591A" w:rsidRPr="000E063D" w:rsidRDefault="006E22D7" w:rsidP="002D4995">
            <w:pPr>
              <w:spacing w:after="0"/>
              <w:jc w:val="center"/>
              <w:rPr>
                <w:rFonts w:ascii="Tw Cen MT" w:hAnsi="Tw Cen MT"/>
                <w:color w:val="404040"/>
                <w:sz w:val="20"/>
              </w:rPr>
            </w:pPr>
            <w:r>
              <w:rPr>
                <w:rFonts w:ascii="Tw Cen MT" w:hAnsi="Tw Cen MT"/>
                <w:color w:val="404040"/>
                <w:sz w:val="20"/>
              </w:rPr>
              <w:t>Yes</w:t>
            </w:r>
          </w:p>
        </w:tc>
      </w:tr>
      <w:tr w:rsidR="007C591A" w:rsidRPr="000E063D" w14:paraId="7160D7FE" w14:textId="77777777" w:rsidTr="002D4995">
        <w:trPr>
          <w:cantSplit/>
          <w:trHeight w:val="260"/>
          <w:jc w:val="center"/>
        </w:trPr>
        <w:tc>
          <w:tcPr>
            <w:tcW w:w="4500" w:type="dxa"/>
            <w:tcBorders>
              <w:bottom w:val="single" w:sz="4" w:space="0" w:color="auto"/>
            </w:tcBorders>
            <w:vAlign w:val="center"/>
          </w:tcPr>
          <w:p w14:paraId="08048CE6" w14:textId="77777777" w:rsidR="007C591A" w:rsidRPr="000E063D" w:rsidRDefault="007C591A" w:rsidP="002D4995">
            <w:pPr>
              <w:spacing w:after="0"/>
              <w:rPr>
                <w:rFonts w:ascii="Tw Cen MT" w:hAnsi="Tw Cen MT"/>
                <w:color w:val="404040"/>
                <w:sz w:val="20"/>
              </w:rPr>
            </w:pPr>
            <w:r w:rsidRPr="000E063D">
              <w:rPr>
                <w:rFonts w:ascii="Tw Cen MT" w:eastAsia="Calibri" w:hAnsi="Tw Cen MT" w:cs="Calibri"/>
                <w:color w:val="auto"/>
                <w:sz w:val="22"/>
                <w:szCs w:val="22"/>
              </w:rPr>
              <w:t xml:space="preserve">Measure 2: Each year, the school's median growth </w:t>
            </w:r>
            <w:r w:rsidRPr="000E063D">
              <w:rPr>
                <w:rFonts w:ascii="Arial" w:eastAsia="Calibri" w:hAnsi="Arial" w:cs="Arial"/>
                <w:color w:val="auto"/>
                <w:sz w:val="22"/>
                <w:szCs w:val="22"/>
              </w:rPr>
              <w:t>​</w:t>
            </w:r>
            <w:r w:rsidRPr="000E063D">
              <w:rPr>
                <w:rFonts w:ascii="Tw Cen MT" w:eastAsia="Calibri" w:hAnsi="Tw Cen MT" w:cs="Calibri"/>
                <w:color w:val="auto"/>
                <w:sz w:val="22"/>
                <w:szCs w:val="22"/>
              </w:rPr>
              <w:t xml:space="preserve">percentile of all </w:t>
            </w:r>
            <w:proofErr w:type="gramStart"/>
            <w:r w:rsidRPr="000E063D">
              <w:rPr>
                <w:rFonts w:ascii="Tw Cen MT" w:eastAsia="Calibri" w:hAnsi="Tw Cen MT" w:cs="Calibri"/>
                <w:color w:val="auto"/>
                <w:sz w:val="22"/>
                <w:szCs w:val="22"/>
              </w:rPr>
              <w:t>3</w:t>
            </w:r>
            <w:r w:rsidRPr="000E063D">
              <w:rPr>
                <w:rFonts w:ascii="Tw Cen MT" w:eastAsia="Calibri" w:hAnsi="Tw Cen MT" w:cs="Calibri"/>
                <w:color w:val="auto"/>
                <w:sz w:val="22"/>
                <w:szCs w:val="22"/>
                <w:vertAlign w:val="superscript"/>
              </w:rPr>
              <w:t>rd</w:t>
            </w:r>
            <w:proofErr w:type="gramEnd"/>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w:t>
            </w:r>
            <w:r w:rsidRPr="000E063D">
              <w:rPr>
                <w:rFonts w:ascii="Arial" w:eastAsia="Calibri" w:hAnsi="Arial" w:cs="Arial"/>
                <w:color w:val="auto"/>
                <w:sz w:val="22"/>
                <w:szCs w:val="22"/>
              </w:rPr>
              <w:t>​</w:t>
            </w:r>
            <w:r w:rsidRPr="000E063D">
              <w:rPr>
                <w:rFonts w:ascii="Tw Cen MT" w:eastAsia="Calibri" w:hAnsi="Tw Cen MT" w:cs="Calibri"/>
                <w:color w:val="auto"/>
                <w:sz w:val="22"/>
                <w:szCs w:val="22"/>
              </w:rPr>
              <w:t>students whose achievement did not meet or exceed the RIT score proficiency equivalent in the fall will meet or exceed 55 in the spring administration.</w:t>
            </w:r>
          </w:p>
        </w:tc>
        <w:tc>
          <w:tcPr>
            <w:tcW w:w="1345" w:type="dxa"/>
            <w:tcBorders>
              <w:bottom w:val="single" w:sz="4" w:space="0" w:color="auto"/>
            </w:tcBorders>
            <w:vAlign w:val="center"/>
          </w:tcPr>
          <w:p w14:paraId="319DF68C"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Low initial achievers</w:t>
            </w:r>
          </w:p>
        </w:tc>
        <w:tc>
          <w:tcPr>
            <w:tcW w:w="810" w:type="dxa"/>
            <w:vAlign w:val="center"/>
          </w:tcPr>
          <w:p w14:paraId="14082C08"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55</w:t>
            </w:r>
          </w:p>
        </w:tc>
        <w:tc>
          <w:tcPr>
            <w:tcW w:w="810" w:type="dxa"/>
            <w:vAlign w:val="center"/>
          </w:tcPr>
          <w:p w14:paraId="188DFA36" w14:textId="4A187C02" w:rsidR="007C591A" w:rsidRPr="000E063D" w:rsidRDefault="00406BD5" w:rsidP="002D4995">
            <w:pPr>
              <w:spacing w:after="0"/>
              <w:jc w:val="center"/>
              <w:rPr>
                <w:rFonts w:ascii="Tw Cen MT" w:hAnsi="Tw Cen MT"/>
                <w:color w:val="404040"/>
                <w:sz w:val="20"/>
              </w:rPr>
            </w:pPr>
            <w:r>
              <w:rPr>
                <w:rFonts w:ascii="Tw Cen MT" w:hAnsi="Tw Cen MT"/>
                <w:color w:val="404040"/>
                <w:sz w:val="20"/>
              </w:rPr>
              <w:t>100</w:t>
            </w:r>
          </w:p>
        </w:tc>
        <w:tc>
          <w:tcPr>
            <w:tcW w:w="900" w:type="dxa"/>
            <w:vAlign w:val="center"/>
          </w:tcPr>
          <w:p w14:paraId="19C4B227" w14:textId="5FAB4BC8" w:rsidR="007C591A" w:rsidRPr="000E063D" w:rsidRDefault="00B10804" w:rsidP="002D4995">
            <w:pPr>
              <w:spacing w:after="0"/>
              <w:jc w:val="center"/>
              <w:rPr>
                <w:rFonts w:ascii="Tw Cen MT" w:hAnsi="Tw Cen MT"/>
                <w:color w:val="404040"/>
                <w:sz w:val="20"/>
              </w:rPr>
            </w:pPr>
            <w:r>
              <w:rPr>
                <w:rFonts w:ascii="Tw Cen MT" w:hAnsi="Tw Cen MT"/>
                <w:color w:val="404040"/>
                <w:sz w:val="20"/>
              </w:rPr>
              <w:t>62</w:t>
            </w:r>
          </w:p>
        </w:tc>
        <w:tc>
          <w:tcPr>
            <w:tcW w:w="990" w:type="dxa"/>
            <w:vAlign w:val="center"/>
          </w:tcPr>
          <w:p w14:paraId="29F32F0D" w14:textId="0E861BAC" w:rsidR="007C591A" w:rsidRPr="000E063D" w:rsidRDefault="00B10804" w:rsidP="002D4995">
            <w:pPr>
              <w:spacing w:after="0"/>
              <w:jc w:val="center"/>
              <w:rPr>
                <w:rFonts w:ascii="Tw Cen MT" w:hAnsi="Tw Cen MT"/>
                <w:color w:val="404040"/>
                <w:sz w:val="20"/>
              </w:rPr>
            </w:pPr>
            <w:r>
              <w:rPr>
                <w:rFonts w:ascii="Tw Cen MT" w:hAnsi="Tw Cen MT"/>
                <w:color w:val="404040"/>
                <w:sz w:val="20"/>
              </w:rPr>
              <w:t>Yes</w:t>
            </w:r>
          </w:p>
        </w:tc>
      </w:tr>
      <w:tr w:rsidR="007C591A" w:rsidRPr="000E063D" w14:paraId="7D5D67EE" w14:textId="77777777" w:rsidTr="002D4995">
        <w:trPr>
          <w:cantSplit/>
          <w:trHeight w:val="260"/>
          <w:jc w:val="center"/>
        </w:trPr>
        <w:tc>
          <w:tcPr>
            <w:tcW w:w="4500" w:type="dxa"/>
            <w:tcBorders>
              <w:bottom w:val="single" w:sz="4" w:space="0" w:color="auto"/>
            </w:tcBorders>
            <w:vAlign w:val="center"/>
          </w:tcPr>
          <w:p w14:paraId="2B4B160C" w14:textId="77777777" w:rsidR="007C591A" w:rsidRPr="000E063D" w:rsidRDefault="007C591A" w:rsidP="002D4995">
            <w:pPr>
              <w:spacing w:after="0"/>
              <w:rPr>
                <w:rFonts w:ascii="Tw Cen MT" w:hAnsi="Tw Cen MT"/>
                <w:color w:val="404040"/>
                <w:sz w:val="20"/>
              </w:rPr>
            </w:pPr>
            <w:r w:rsidRPr="000E063D">
              <w:rPr>
                <w:rFonts w:ascii="Tw Cen MT" w:eastAsia="Calibri" w:hAnsi="Tw Cen MT" w:cs="Calibri"/>
                <w:color w:val="auto"/>
                <w:sz w:val="22"/>
                <w:szCs w:val="22"/>
              </w:rPr>
              <w:t>Measure 3: Each year, the median growth percentile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with disabilities at the school will be equal to or greater than the median growth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general education students at the school.</w:t>
            </w:r>
            <w:r w:rsidRPr="000E063D">
              <w:rPr>
                <w:rFonts w:ascii="Arial" w:eastAsia="Calibri" w:hAnsi="Arial" w:cs="Arial"/>
                <w:color w:val="auto"/>
                <w:sz w:val="22"/>
                <w:szCs w:val="22"/>
              </w:rPr>
              <w:t> </w:t>
            </w:r>
          </w:p>
        </w:tc>
        <w:tc>
          <w:tcPr>
            <w:tcW w:w="1345" w:type="dxa"/>
            <w:tcBorders>
              <w:bottom w:val="single" w:sz="4" w:space="0" w:color="auto"/>
            </w:tcBorders>
            <w:vAlign w:val="center"/>
          </w:tcPr>
          <w:p w14:paraId="7A999E0D" w14:textId="42C2D1A8"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Students with disabilities</w:t>
            </w:r>
          </w:p>
        </w:tc>
        <w:tc>
          <w:tcPr>
            <w:tcW w:w="810" w:type="dxa"/>
            <w:vAlign w:val="center"/>
          </w:tcPr>
          <w:p w14:paraId="725154CD" w14:textId="4F4041F3" w:rsidR="007C591A" w:rsidRPr="000E063D" w:rsidRDefault="0005190B" w:rsidP="002D4995">
            <w:pPr>
              <w:spacing w:after="0"/>
              <w:jc w:val="center"/>
              <w:rPr>
                <w:rFonts w:ascii="Tw Cen MT" w:hAnsi="Tw Cen MT"/>
                <w:color w:val="404040"/>
                <w:sz w:val="20"/>
              </w:rPr>
            </w:pPr>
            <w:r>
              <w:rPr>
                <w:rFonts w:ascii="Tw Cen MT" w:hAnsi="Tw Cen MT"/>
                <w:color w:val="404040"/>
                <w:sz w:val="20"/>
              </w:rPr>
              <w:t>64</w:t>
            </w:r>
          </w:p>
        </w:tc>
        <w:tc>
          <w:tcPr>
            <w:tcW w:w="810" w:type="dxa"/>
            <w:vAlign w:val="center"/>
          </w:tcPr>
          <w:p w14:paraId="352F34E2" w14:textId="503AA0D1" w:rsidR="007C591A" w:rsidRPr="000E063D" w:rsidRDefault="0005190B" w:rsidP="002D4995">
            <w:pPr>
              <w:spacing w:after="0"/>
              <w:jc w:val="center"/>
              <w:rPr>
                <w:rFonts w:ascii="Tw Cen MT" w:hAnsi="Tw Cen MT"/>
                <w:color w:val="404040"/>
                <w:sz w:val="20"/>
              </w:rPr>
            </w:pPr>
            <w:r>
              <w:rPr>
                <w:rFonts w:ascii="Tw Cen MT" w:hAnsi="Tw Cen MT"/>
                <w:color w:val="404040"/>
                <w:sz w:val="20"/>
              </w:rPr>
              <w:t>12</w:t>
            </w:r>
          </w:p>
        </w:tc>
        <w:tc>
          <w:tcPr>
            <w:tcW w:w="900" w:type="dxa"/>
            <w:vAlign w:val="center"/>
          </w:tcPr>
          <w:p w14:paraId="6F0C980B" w14:textId="67C0F8F5" w:rsidR="007C591A" w:rsidRPr="000E063D" w:rsidRDefault="00447284" w:rsidP="002D4995">
            <w:pPr>
              <w:spacing w:after="0"/>
              <w:jc w:val="center"/>
              <w:rPr>
                <w:rFonts w:ascii="Tw Cen MT" w:hAnsi="Tw Cen MT"/>
                <w:color w:val="404040"/>
                <w:sz w:val="20"/>
              </w:rPr>
            </w:pPr>
            <w:r>
              <w:rPr>
                <w:rFonts w:ascii="Tw Cen MT" w:hAnsi="Tw Cen MT"/>
                <w:color w:val="404040"/>
                <w:sz w:val="20"/>
              </w:rPr>
              <w:t>56</w:t>
            </w:r>
          </w:p>
        </w:tc>
        <w:tc>
          <w:tcPr>
            <w:tcW w:w="990" w:type="dxa"/>
            <w:vAlign w:val="center"/>
          </w:tcPr>
          <w:p w14:paraId="5131C4F2" w14:textId="444F92EC" w:rsidR="007C591A" w:rsidRPr="000E063D" w:rsidRDefault="00447284" w:rsidP="002D4995">
            <w:pPr>
              <w:spacing w:after="0"/>
              <w:jc w:val="center"/>
              <w:rPr>
                <w:rFonts w:ascii="Tw Cen MT" w:hAnsi="Tw Cen MT"/>
                <w:color w:val="404040"/>
                <w:sz w:val="20"/>
              </w:rPr>
            </w:pPr>
            <w:r>
              <w:rPr>
                <w:rFonts w:ascii="Tw Cen MT" w:hAnsi="Tw Cen MT"/>
                <w:color w:val="404040"/>
                <w:sz w:val="20"/>
              </w:rPr>
              <w:t>No</w:t>
            </w:r>
          </w:p>
        </w:tc>
      </w:tr>
      <w:tr w:rsidR="007C591A" w:rsidRPr="000E063D" w14:paraId="081DF297" w14:textId="77777777" w:rsidTr="002D4995">
        <w:trPr>
          <w:cantSplit/>
          <w:trHeight w:val="260"/>
          <w:jc w:val="center"/>
        </w:trPr>
        <w:tc>
          <w:tcPr>
            <w:tcW w:w="4500" w:type="dxa"/>
            <w:tcBorders>
              <w:bottom w:val="single" w:sz="4" w:space="0" w:color="auto"/>
            </w:tcBorders>
            <w:vAlign w:val="center"/>
          </w:tcPr>
          <w:p w14:paraId="03690482" w14:textId="5427953E" w:rsidR="007C591A" w:rsidRPr="000E063D" w:rsidRDefault="007C591A" w:rsidP="002D4995">
            <w:pPr>
              <w:spacing w:after="0"/>
              <w:rPr>
                <w:rFonts w:ascii="Tw Cen MT" w:hAnsi="Tw Cen MT"/>
                <w:color w:val="404040"/>
                <w:sz w:val="20"/>
              </w:rPr>
            </w:pPr>
            <w:r w:rsidRPr="000E063D">
              <w:rPr>
                <w:rFonts w:ascii="Tw Cen MT" w:eastAsia="Calibri" w:hAnsi="Tw Cen MT" w:cs="Calibri"/>
                <w:color w:val="auto"/>
                <w:sz w:val="22"/>
                <w:szCs w:val="22"/>
              </w:rPr>
              <w:t>Measure 4: Each year, 75% of 3</w:t>
            </w:r>
            <w:r w:rsidRPr="000E063D">
              <w:rPr>
                <w:rFonts w:ascii="Tw Cen MT" w:eastAsia="Calibri" w:hAnsi="Tw Cen MT" w:cs="Calibri"/>
                <w:color w:val="auto"/>
                <w:sz w:val="22"/>
                <w:szCs w:val="22"/>
                <w:vertAlign w:val="superscript"/>
              </w:rPr>
              <w:t>rd</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through 8</w:t>
            </w:r>
            <w:r w:rsidRPr="000E063D">
              <w:rPr>
                <w:rFonts w:ascii="Tw Cen MT" w:eastAsia="Calibri" w:hAnsi="Tw Cen MT" w:cs="Calibri"/>
                <w:color w:val="auto"/>
                <w:sz w:val="22"/>
                <w:szCs w:val="22"/>
                <w:vertAlign w:val="superscript"/>
              </w:rPr>
              <w:t>th</w:t>
            </w:r>
            <w:r w:rsidRPr="000E063D">
              <w:rPr>
                <w:rFonts w:ascii="Arial" w:eastAsia="Calibri" w:hAnsi="Arial" w:cs="Arial"/>
                <w:color w:val="auto"/>
                <w:sz w:val="22"/>
                <w:szCs w:val="22"/>
              </w:rPr>
              <w:t> </w:t>
            </w:r>
            <w:r w:rsidRPr="000E063D">
              <w:rPr>
                <w:rFonts w:ascii="Tw Cen MT" w:eastAsia="Calibri" w:hAnsi="Tw Cen MT" w:cs="Calibri"/>
                <w:color w:val="auto"/>
                <w:sz w:val="22"/>
                <w:szCs w:val="22"/>
              </w:rPr>
              <w:t>grade students enrolled in at least their second year at the school will meet or exceed the RIT score proficiency equivalent according to the most recent linking study comparing NWEA Growth to New York State standards.</w:t>
            </w:r>
          </w:p>
        </w:tc>
        <w:tc>
          <w:tcPr>
            <w:tcW w:w="1345" w:type="dxa"/>
            <w:tcBorders>
              <w:bottom w:val="single" w:sz="4" w:space="0" w:color="auto"/>
            </w:tcBorders>
            <w:vAlign w:val="center"/>
          </w:tcPr>
          <w:p w14:paraId="6EDEAA31"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2+ students</w:t>
            </w:r>
          </w:p>
        </w:tc>
        <w:tc>
          <w:tcPr>
            <w:tcW w:w="810" w:type="dxa"/>
            <w:vAlign w:val="center"/>
          </w:tcPr>
          <w:p w14:paraId="6F341821"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75%</w:t>
            </w:r>
          </w:p>
        </w:tc>
        <w:tc>
          <w:tcPr>
            <w:tcW w:w="810" w:type="dxa"/>
            <w:vAlign w:val="center"/>
          </w:tcPr>
          <w:p w14:paraId="3C8E8D6B" w14:textId="44AE9139" w:rsidR="007C591A" w:rsidRPr="000E063D" w:rsidRDefault="00C1590F" w:rsidP="002D4995">
            <w:pPr>
              <w:spacing w:after="0"/>
              <w:jc w:val="center"/>
              <w:rPr>
                <w:rFonts w:ascii="Tw Cen MT" w:hAnsi="Tw Cen MT"/>
                <w:color w:val="404040"/>
                <w:sz w:val="20"/>
              </w:rPr>
            </w:pPr>
            <w:r>
              <w:rPr>
                <w:rFonts w:ascii="Tw Cen MT" w:hAnsi="Tw Cen MT"/>
                <w:color w:val="404040"/>
                <w:sz w:val="20"/>
              </w:rPr>
              <w:t>100</w:t>
            </w:r>
          </w:p>
        </w:tc>
        <w:tc>
          <w:tcPr>
            <w:tcW w:w="900" w:type="dxa"/>
            <w:vAlign w:val="center"/>
          </w:tcPr>
          <w:p w14:paraId="43D41D35" w14:textId="2CAF451C" w:rsidR="007C591A" w:rsidRPr="000E063D" w:rsidRDefault="00C1590F" w:rsidP="002D4995">
            <w:pPr>
              <w:spacing w:after="0"/>
              <w:jc w:val="center"/>
              <w:rPr>
                <w:rFonts w:ascii="Tw Cen MT" w:hAnsi="Tw Cen MT"/>
                <w:color w:val="404040"/>
                <w:sz w:val="20"/>
              </w:rPr>
            </w:pPr>
            <w:r>
              <w:rPr>
                <w:rFonts w:ascii="Tw Cen MT" w:hAnsi="Tw Cen MT"/>
                <w:color w:val="404040"/>
                <w:sz w:val="20"/>
              </w:rPr>
              <w:t>7%</w:t>
            </w:r>
          </w:p>
        </w:tc>
        <w:tc>
          <w:tcPr>
            <w:tcW w:w="990" w:type="dxa"/>
            <w:vAlign w:val="center"/>
          </w:tcPr>
          <w:p w14:paraId="3B716434" w14:textId="5F8D6F4B" w:rsidR="007C591A" w:rsidRPr="000E063D" w:rsidRDefault="00C1590F" w:rsidP="002D4995">
            <w:pPr>
              <w:spacing w:after="0"/>
              <w:jc w:val="center"/>
              <w:rPr>
                <w:rFonts w:ascii="Tw Cen MT" w:hAnsi="Tw Cen MT"/>
                <w:color w:val="404040"/>
                <w:sz w:val="20"/>
              </w:rPr>
            </w:pPr>
            <w:r>
              <w:rPr>
                <w:rFonts w:ascii="Tw Cen MT" w:hAnsi="Tw Cen MT"/>
                <w:color w:val="404040"/>
                <w:sz w:val="20"/>
              </w:rPr>
              <w:t>No</w:t>
            </w:r>
          </w:p>
        </w:tc>
      </w:tr>
    </w:tbl>
    <w:p w14:paraId="7FF03A35" w14:textId="77777777" w:rsidR="007C591A" w:rsidRPr="000E063D" w:rsidRDefault="007C591A" w:rsidP="007C591A">
      <w:pPr>
        <w:rPr>
          <w:rFonts w:ascii="Tw Cen MT" w:hAnsi="Tw Cen MT"/>
        </w:rPr>
      </w:pPr>
    </w:p>
    <w:p w14:paraId="3DF5FBAA" w14:textId="7C766D50" w:rsidR="007C591A" w:rsidRPr="000E063D" w:rsidRDefault="007C591A" w:rsidP="007C591A">
      <w:pPr>
        <w:widowControl w:val="0"/>
        <w:shd w:val="clear" w:color="auto" w:fill="8DB3E2"/>
        <w:spacing w:after="40"/>
        <w:jc w:val="center"/>
        <w:rPr>
          <w:rFonts w:ascii="Tw Cen MT" w:hAnsi="Tw Cen MT"/>
          <w:color w:val="FFFFFF"/>
        </w:rPr>
      </w:pPr>
      <w:r w:rsidRPr="000E063D">
        <w:rPr>
          <w:rFonts w:ascii="Tw Cen MT" w:hAnsi="Tw Cen MT"/>
          <w:color w:val="FFFFFF"/>
        </w:rPr>
        <w:t>End of Year Performance on 2021-22 NWEA MAP Mathematics Assessment</w:t>
      </w:r>
    </w:p>
    <w:p w14:paraId="20C47EB4" w14:textId="77777777" w:rsidR="007C591A" w:rsidRPr="000E063D" w:rsidRDefault="007C591A" w:rsidP="007C591A">
      <w:pPr>
        <w:widowControl w:val="0"/>
        <w:shd w:val="clear" w:color="auto" w:fill="8DB3E2"/>
        <w:spacing w:after="40"/>
        <w:jc w:val="center"/>
        <w:rPr>
          <w:rFonts w:ascii="Tw Cen MT" w:hAnsi="Tw Cen MT"/>
          <w:color w:val="FFFFFF"/>
        </w:rPr>
      </w:pPr>
      <w:r w:rsidRPr="000E063D">
        <w:rPr>
          <w:rFonts w:ascii="Tw Cen MT" w:hAnsi="Tw Cen MT"/>
          <w:color w:val="FFFFFF"/>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7C591A" w:rsidRPr="000E063D" w14:paraId="1042BD6C" w14:textId="77777777" w:rsidTr="002D4995">
        <w:trPr>
          <w:cantSplit/>
          <w:trHeight w:val="611"/>
          <w:jc w:val="center"/>
        </w:trPr>
        <w:tc>
          <w:tcPr>
            <w:tcW w:w="827" w:type="dxa"/>
            <w:vMerge w:val="restart"/>
            <w:vAlign w:val="center"/>
          </w:tcPr>
          <w:p w14:paraId="2D3D7FFB"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Grades</w:t>
            </w:r>
          </w:p>
        </w:tc>
        <w:tc>
          <w:tcPr>
            <w:tcW w:w="2827" w:type="dxa"/>
            <w:gridSpan w:val="2"/>
            <w:vAlign w:val="center"/>
          </w:tcPr>
          <w:p w14:paraId="2B6389B1"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 xml:space="preserve">All Students  </w:t>
            </w:r>
          </w:p>
        </w:tc>
        <w:tc>
          <w:tcPr>
            <w:tcW w:w="2573" w:type="dxa"/>
            <w:gridSpan w:val="2"/>
            <w:vAlign w:val="center"/>
          </w:tcPr>
          <w:p w14:paraId="24A6060C"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Enrolled in at least their Second Year</w:t>
            </w:r>
          </w:p>
        </w:tc>
      </w:tr>
      <w:tr w:rsidR="007C591A" w:rsidRPr="000E063D" w14:paraId="57EDA0DD" w14:textId="77777777" w:rsidTr="002D4995">
        <w:trPr>
          <w:cantSplit/>
          <w:trHeight w:val="611"/>
          <w:jc w:val="center"/>
        </w:trPr>
        <w:tc>
          <w:tcPr>
            <w:tcW w:w="827" w:type="dxa"/>
            <w:vMerge/>
            <w:vAlign w:val="center"/>
          </w:tcPr>
          <w:p w14:paraId="6B69A183" w14:textId="77777777" w:rsidR="007C591A" w:rsidRPr="000E063D" w:rsidRDefault="007C591A" w:rsidP="002D4995">
            <w:pPr>
              <w:spacing w:after="0"/>
              <w:jc w:val="center"/>
              <w:rPr>
                <w:rFonts w:ascii="Tw Cen MT" w:hAnsi="Tw Cen MT"/>
                <w:color w:val="404040"/>
                <w:sz w:val="20"/>
              </w:rPr>
            </w:pPr>
          </w:p>
        </w:tc>
        <w:tc>
          <w:tcPr>
            <w:tcW w:w="1477" w:type="dxa"/>
            <w:vAlign w:val="center"/>
          </w:tcPr>
          <w:p w14:paraId="4E661128" w14:textId="2BA6420F"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Percent Proficient</w:t>
            </w:r>
          </w:p>
        </w:tc>
        <w:tc>
          <w:tcPr>
            <w:tcW w:w="1350" w:type="dxa"/>
            <w:vAlign w:val="center"/>
          </w:tcPr>
          <w:p w14:paraId="3CACFB08"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Number</w:t>
            </w:r>
          </w:p>
          <w:p w14:paraId="53273108" w14:textId="130240BE"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Teste</w:t>
            </w:r>
            <w:r w:rsidR="00A11B5F">
              <w:rPr>
                <w:rFonts w:ascii="Tw Cen MT" w:hAnsi="Tw Cen MT"/>
                <w:color w:val="404040"/>
                <w:sz w:val="20"/>
              </w:rPr>
              <w:t>d</w:t>
            </w:r>
          </w:p>
        </w:tc>
        <w:tc>
          <w:tcPr>
            <w:tcW w:w="1223" w:type="dxa"/>
            <w:vAlign w:val="center"/>
          </w:tcPr>
          <w:p w14:paraId="2190D28E"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Percent Proficient</w:t>
            </w:r>
          </w:p>
        </w:tc>
        <w:tc>
          <w:tcPr>
            <w:tcW w:w="1350" w:type="dxa"/>
            <w:vAlign w:val="center"/>
          </w:tcPr>
          <w:p w14:paraId="4BEA5279"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Number</w:t>
            </w:r>
          </w:p>
          <w:p w14:paraId="776AD155"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 xml:space="preserve">Tested </w:t>
            </w:r>
          </w:p>
        </w:tc>
      </w:tr>
      <w:tr w:rsidR="001150A6" w:rsidRPr="000E063D" w14:paraId="0C1C1021" w14:textId="77777777" w:rsidTr="002D4995">
        <w:trPr>
          <w:cantSplit/>
          <w:trHeight w:val="305"/>
          <w:jc w:val="center"/>
        </w:trPr>
        <w:tc>
          <w:tcPr>
            <w:tcW w:w="827" w:type="dxa"/>
            <w:tcBorders>
              <w:bottom w:val="single" w:sz="4" w:space="0" w:color="auto"/>
            </w:tcBorders>
            <w:vAlign w:val="center"/>
          </w:tcPr>
          <w:p w14:paraId="78764CB0" w14:textId="2BA38400" w:rsidR="001150A6" w:rsidRPr="000E063D" w:rsidRDefault="001150A6" w:rsidP="001150A6">
            <w:pPr>
              <w:spacing w:after="0"/>
              <w:jc w:val="center"/>
              <w:rPr>
                <w:rFonts w:ascii="Tw Cen MT" w:hAnsi="Tw Cen MT"/>
                <w:color w:val="404040"/>
                <w:sz w:val="20"/>
              </w:rPr>
            </w:pPr>
            <w:r>
              <w:rPr>
                <w:rFonts w:ascii="Tw Cen MT" w:hAnsi="Tw Cen MT"/>
                <w:color w:val="404040"/>
                <w:sz w:val="20"/>
              </w:rPr>
              <w:t>2</w:t>
            </w:r>
          </w:p>
        </w:tc>
        <w:tc>
          <w:tcPr>
            <w:tcW w:w="1477" w:type="dxa"/>
            <w:tcBorders>
              <w:bottom w:val="single" w:sz="4" w:space="0" w:color="auto"/>
            </w:tcBorders>
            <w:vAlign w:val="center"/>
          </w:tcPr>
          <w:p w14:paraId="6D68F911" w14:textId="3953CC06" w:rsidR="001150A6" w:rsidRPr="000E063D" w:rsidRDefault="001150A6" w:rsidP="001150A6">
            <w:pPr>
              <w:spacing w:after="0"/>
              <w:jc w:val="center"/>
              <w:rPr>
                <w:rFonts w:ascii="Tw Cen MT" w:hAnsi="Tw Cen MT"/>
                <w:color w:val="404040"/>
                <w:sz w:val="20"/>
              </w:rPr>
            </w:pPr>
            <w:r>
              <w:rPr>
                <w:rFonts w:ascii="Tw Cen MT" w:hAnsi="Tw Cen MT"/>
                <w:color w:val="404040"/>
                <w:sz w:val="20"/>
              </w:rPr>
              <w:t>28%</w:t>
            </w:r>
          </w:p>
        </w:tc>
        <w:tc>
          <w:tcPr>
            <w:tcW w:w="1350" w:type="dxa"/>
            <w:vAlign w:val="center"/>
          </w:tcPr>
          <w:p w14:paraId="6F27E833" w14:textId="5EC6CED4" w:rsidR="001150A6" w:rsidRPr="000E063D" w:rsidRDefault="001150A6" w:rsidP="001150A6">
            <w:pPr>
              <w:spacing w:after="0"/>
              <w:jc w:val="center"/>
              <w:rPr>
                <w:rFonts w:ascii="Tw Cen MT" w:hAnsi="Tw Cen MT"/>
                <w:color w:val="404040"/>
                <w:sz w:val="20"/>
              </w:rPr>
            </w:pPr>
            <w:r>
              <w:rPr>
                <w:rFonts w:ascii="Tw Cen MT" w:hAnsi="Tw Cen MT"/>
                <w:color w:val="404040"/>
                <w:sz w:val="20"/>
              </w:rPr>
              <w:t>57</w:t>
            </w:r>
          </w:p>
        </w:tc>
        <w:tc>
          <w:tcPr>
            <w:tcW w:w="1223" w:type="dxa"/>
            <w:vAlign w:val="center"/>
          </w:tcPr>
          <w:p w14:paraId="6903E370" w14:textId="5AC32714" w:rsidR="001150A6" w:rsidRPr="000E063D" w:rsidRDefault="00B04F62" w:rsidP="001150A6">
            <w:pPr>
              <w:spacing w:after="0"/>
              <w:jc w:val="center"/>
              <w:rPr>
                <w:rFonts w:ascii="Tw Cen MT" w:hAnsi="Tw Cen MT"/>
                <w:color w:val="404040"/>
                <w:sz w:val="20"/>
              </w:rPr>
            </w:pPr>
            <w:r>
              <w:rPr>
                <w:rFonts w:ascii="Tw Cen MT" w:hAnsi="Tw Cen MT"/>
                <w:color w:val="404040"/>
                <w:sz w:val="20"/>
              </w:rPr>
              <w:t>30%</w:t>
            </w:r>
          </w:p>
        </w:tc>
        <w:tc>
          <w:tcPr>
            <w:tcW w:w="1350" w:type="dxa"/>
            <w:tcBorders>
              <w:bottom w:val="single" w:sz="4" w:space="0" w:color="auto"/>
            </w:tcBorders>
            <w:vAlign w:val="center"/>
          </w:tcPr>
          <w:p w14:paraId="553923B7" w14:textId="68272FCA" w:rsidR="001150A6" w:rsidRPr="000E063D" w:rsidRDefault="001150A6" w:rsidP="001150A6">
            <w:pPr>
              <w:spacing w:after="0"/>
              <w:jc w:val="center"/>
              <w:rPr>
                <w:rFonts w:ascii="Tw Cen MT" w:hAnsi="Tw Cen MT"/>
                <w:color w:val="404040"/>
                <w:sz w:val="20"/>
              </w:rPr>
            </w:pPr>
            <w:r>
              <w:rPr>
                <w:rFonts w:ascii="Tw Cen MT" w:hAnsi="Tw Cen MT"/>
                <w:color w:val="404040"/>
                <w:sz w:val="20"/>
              </w:rPr>
              <w:t>53</w:t>
            </w:r>
          </w:p>
        </w:tc>
      </w:tr>
      <w:tr w:rsidR="001150A6" w:rsidRPr="000E063D" w14:paraId="522A614C" w14:textId="77777777" w:rsidTr="002D4995">
        <w:trPr>
          <w:cantSplit/>
          <w:trHeight w:val="305"/>
          <w:jc w:val="center"/>
        </w:trPr>
        <w:tc>
          <w:tcPr>
            <w:tcW w:w="827" w:type="dxa"/>
            <w:tcBorders>
              <w:bottom w:val="single" w:sz="4" w:space="0" w:color="auto"/>
            </w:tcBorders>
            <w:vAlign w:val="center"/>
          </w:tcPr>
          <w:p w14:paraId="52412935" w14:textId="77777777" w:rsidR="001150A6" w:rsidRPr="000E063D" w:rsidRDefault="001150A6" w:rsidP="001150A6">
            <w:pPr>
              <w:spacing w:after="0"/>
              <w:jc w:val="center"/>
              <w:rPr>
                <w:rFonts w:ascii="Tw Cen MT" w:hAnsi="Tw Cen MT"/>
                <w:color w:val="404040"/>
                <w:sz w:val="20"/>
              </w:rPr>
            </w:pPr>
            <w:r w:rsidRPr="000E063D">
              <w:rPr>
                <w:rFonts w:ascii="Tw Cen MT" w:hAnsi="Tw Cen MT"/>
                <w:color w:val="404040"/>
                <w:sz w:val="20"/>
              </w:rPr>
              <w:t>3</w:t>
            </w:r>
          </w:p>
        </w:tc>
        <w:tc>
          <w:tcPr>
            <w:tcW w:w="1477" w:type="dxa"/>
            <w:tcBorders>
              <w:bottom w:val="single" w:sz="4" w:space="0" w:color="auto"/>
            </w:tcBorders>
            <w:vAlign w:val="center"/>
          </w:tcPr>
          <w:p w14:paraId="28D6B7D0" w14:textId="0BF99441" w:rsidR="001150A6" w:rsidRPr="000E063D" w:rsidRDefault="001150A6" w:rsidP="001150A6">
            <w:pPr>
              <w:spacing w:after="0"/>
              <w:jc w:val="center"/>
              <w:rPr>
                <w:rFonts w:ascii="Tw Cen MT" w:hAnsi="Tw Cen MT"/>
                <w:color w:val="404040"/>
                <w:sz w:val="20"/>
              </w:rPr>
            </w:pPr>
            <w:r>
              <w:rPr>
                <w:rFonts w:ascii="Tw Cen MT" w:hAnsi="Tw Cen MT"/>
                <w:color w:val="404040"/>
                <w:sz w:val="20"/>
              </w:rPr>
              <w:t>4%</w:t>
            </w:r>
          </w:p>
        </w:tc>
        <w:tc>
          <w:tcPr>
            <w:tcW w:w="1350" w:type="dxa"/>
            <w:vAlign w:val="center"/>
          </w:tcPr>
          <w:p w14:paraId="50566D12" w14:textId="00B9310C" w:rsidR="001150A6" w:rsidRPr="000E063D" w:rsidRDefault="001150A6" w:rsidP="001150A6">
            <w:pPr>
              <w:spacing w:after="0"/>
              <w:jc w:val="center"/>
              <w:rPr>
                <w:rFonts w:ascii="Tw Cen MT" w:hAnsi="Tw Cen MT"/>
                <w:color w:val="404040"/>
                <w:sz w:val="20"/>
              </w:rPr>
            </w:pPr>
            <w:r>
              <w:rPr>
                <w:rFonts w:ascii="Tw Cen MT" w:hAnsi="Tw Cen MT"/>
                <w:color w:val="404040"/>
                <w:sz w:val="20"/>
              </w:rPr>
              <w:t>53</w:t>
            </w:r>
          </w:p>
        </w:tc>
        <w:tc>
          <w:tcPr>
            <w:tcW w:w="1223" w:type="dxa"/>
            <w:vAlign w:val="center"/>
          </w:tcPr>
          <w:p w14:paraId="1EA32275" w14:textId="3DE18561" w:rsidR="001150A6" w:rsidRPr="000E063D" w:rsidRDefault="00B04F62" w:rsidP="001150A6">
            <w:pPr>
              <w:spacing w:after="0"/>
              <w:jc w:val="center"/>
              <w:rPr>
                <w:rFonts w:ascii="Tw Cen MT" w:hAnsi="Tw Cen MT"/>
                <w:color w:val="404040"/>
                <w:sz w:val="20"/>
              </w:rPr>
            </w:pPr>
            <w:r>
              <w:rPr>
                <w:rFonts w:ascii="Tw Cen MT" w:hAnsi="Tw Cen MT"/>
                <w:color w:val="404040"/>
                <w:sz w:val="20"/>
              </w:rPr>
              <w:t>4%</w:t>
            </w:r>
          </w:p>
        </w:tc>
        <w:tc>
          <w:tcPr>
            <w:tcW w:w="1350" w:type="dxa"/>
            <w:tcBorders>
              <w:bottom w:val="single" w:sz="4" w:space="0" w:color="auto"/>
            </w:tcBorders>
            <w:vAlign w:val="center"/>
          </w:tcPr>
          <w:p w14:paraId="736DB0F3" w14:textId="426150A5" w:rsidR="001150A6" w:rsidRPr="000E063D" w:rsidRDefault="001150A6" w:rsidP="001150A6">
            <w:pPr>
              <w:spacing w:after="0"/>
              <w:jc w:val="center"/>
              <w:rPr>
                <w:rFonts w:ascii="Tw Cen MT" w:hAnsi="Tw Cen MT"/>
                <w:color w:val="404040"/>
                <w:sz w:val="20"/>
              </w:rPr>
            </w:pPr>
            <w:r>
              <w:rPr>
                <w:rFonts w:ascii="Tw Cen MT" w:hAnsi="Tw Cen MT"/>
                <w:color w:val="404040"/>
                <w:sz w:val="20"/>
              </w:rPr>
              <w:t>51</w:t>
            </w:r>
          </w:p>
        </w:tc>
      </w:tr>
      <w:tr w:rsidR="001150A6" w:rsidRPr="000E063D" w14:paraId="728DA21F" w14:textId="77777777" w:rsidTr="002D4995">
        <w:trPr>
          <w:cantSplit/>
          <w:trHeight w:val="260"/>
          <w:jc w:val="center"/>
        </w:trPr>
        <w:tc>
          <w:tcPr>
            <w:tcW w:w="827" w:type="dxa"/>
            <w:tcBorders>
              <w:bottom w:val="single" w:sz="4" w:space="0" w:color="auto"/>
            </w:tcBorders>
            <w:vAlign w:val="center"/>
          </w:tcPr>
          <w:p w14:paraId="3EE386BD" w14:textId="77777777" w:rsidR="001150A6" w:rsidRPr="000E063D" w:rsidRDefault="001150A6" w:rsidP="001150A6">
            <w:pPr>
              <w:spacing w:after="0"/>
              <w:jc w:val="center"/>
              <w:rPr>
                <w:rFonts w:ascii="Tw Cen MT" w:hAnsi="Tw Cen MT"/>
                <w:color w:val="404040"/>
                <w:sz w:val="20"/>
              </w:rPr>
            </w:pPr>
            <w:r w:rsidRPr="000E063D">
              <w:rPr>
                <w:rFonts w:ascii="Tw Cen MT" w:hAnsi="Tw Cen MT"/>
                <w:color w:val="404040"/>
                <w:sz w:val="20"/>
              </w:rPr>
              <w:t>4</w:t>
            </w:r>
          </w:p>
        </w:tc>
        <w:tc>
          <w:tcPr>
            <w:tcW w:w="1477" w:type="dxa"/>
            <w:tcBorders>
              <w:bottom w:val="single" w:sz="4" w:space="0" w:color="auto"/>
            </w:tcBorders>
            <w:vAlign w:val="center"/>
          </w:tcPr>
          <w:p w14:paraId="39B4CA3E" w14:textId="5B9B4C02" w:rsidR="001150A6" w:rsidRPr="000E063D" w:rsidRDefault="001150A6" w:rsidP="001150A6">
            <w:pPr>
              <w:spacing w:after="0"/>
              <w:jc w:val="center"/>
              <w:rPr>
                <w:rFonts w:ascii="Tw Cen MT" w:hAnsi="Tw Cen MT"/>
                <w:color w:val="404040"/>
                <w:sz w:val="20"/>
              </w:rPr>
            </w:pPr>
            <w:r>
              <w:rPr>
                <w:rFonts w:ascii="Tw Cen MT" w:hAnsi="Tw Cen MT"/>
                <w:color w:val="404040"/>
                <w:sz w:val="20"/>
              </w:rPr>
              <w:t>9%</w:t>
            </w:r>
          </w:p>
        </w:tc>
        <w:tc>
          <w:tcPr>
            <w:tcW w:w="1350" w:type="dxa"/>
            <w:vAlign w:val="center"/>
          </w:tcPr>
          <w:p w14:paraId="67BF6E3C" w14:textId="6FBFE0D6" w:rsidR="001150A6" w:rsidRPr="000E063D" w:rsidRDefault="001150A6" w:rsidP="001150A6">
            <w:pPr>
              <w:spacing w:after="0"/>
              <w:jc w:val="center"/>
              <w:rPr>
                <w:rFonts w:ascii="Tw Cen MT" w:hAnsi="Tw Cen MT"/>
                <w:color w:val="404040"/>
                <w:sz w:val="20"/>
              </w:rPr>
            </w:pPr>
            <w:r>
              <w:rPr>
                <w:rFonts w:ascii="Tw Cen MT" w:hAnsi="Tw Cen MT"/>
                <w:color w:val="404040"/>
                <w:sz w:val="20"/>
              </w:rPr>
              <w:t>54</w:t>
            </w:r>
          </w:p>
        </w:tc>
        <w:tc>
          <w:tcPr>
            <w:tcW w:w="1223" w:type="dxa"/>
            <w:vAlign w:val="center"/>
          </w:tcPr>
          <w:p w14:paraId="35F4D91A" w14:textId="7F0C6691" w:rsidR="001150A6" w:rsidRPr="000E063D" w:rsidRDefault="00B04F62" w:rsidP="001150A6">
            <w:pPr>
              <w:spacing w:after="0"/>
              <w:jc w:val="center"/>
              <w:rPr>
                <w:rFonts w:ascii="Tw Cen MT" w:hAnsi="Tw Cen MT"/>
                <w:color w:val="404040"/>
                <w:sz w:val="20"/>
              </w:rPr>
            </w:pPr>
            <w:r>
              <w:rPr>
                <w:rFonts w:ascii="Tw Cen MT" w:hAnsi="Tw Cen MT"/>
                <w:color w:val="404040"/>
                <w:sz w:val="20"/>
              </w:rPr>
              <w:t>10%</w:t>
            </w:r>
          </w:p>
        </w:tc>
        <w:tc>
          <w:tcPr>
            <w:tcW w:w="1350" w:type="dxa"/>
            <w:tcBorders>
              <w:bottom w:val="single" w:sz="4" w:space="0" w:color="auto"/>
            </w:tcBorders>
            <w:vAlign w:val="center"/>
          </w:tcPr>
          <w:p w14:paraId="0D39841A" w14:textId="2A5F91E0" w:rsidR="001150A6" w:rsidRPr="000E063D" w:rsidRDefault="001150A6" w:rsidP="001150A6">
            <w:pPr>
              <w:spacing w:after="0"/>
              <w:jc w:val="center"/>
              <w:rPr>
                <w:rFonts w:ascii="Tw Cen MT" w:hAnsi="Tw Cen MT"/>
                <w:color w:val="404040"/>
                <w:sz w:val="20"/>
              </w:rPr>
            </w:pPr>
            <w:r>
              <w:rPr>
                <w:rFonts w:ascii="Tw Cen MT" w:hAnsi="Tw Cen MT"/>
                <w:color w:val="404040"/>
                <w:sz w:val="20"/>
              </w:rPr>
              <w:t>49</w:t>
            </w:r>
          </w:p>
        </w:tc>
      </w:tr>
      <w:tr w:rsidR="00AC1D49" w:rsidRPr="000E063D" w14:paraId="3B52CE60" w14:textId="77777777" w:rsidTr="00AC1D49">
        <w:trPr>
          <w:cantSplit/>
          <w:trHeight w:val="260"/>
          <w:jc w:val="center"/>
        </w:trPr>
        <w:tc>
          <w:tcPr>
            <w:tcW w:w="827" w:type="dxa"/>
            <w:tcBorders>
              <w:bottom w:val="single" w:sz="4" w:space="0" w:color="auto"/>
            </w:tcBorders>
            <w:vAlign w:val="center"/>
          </w:tcPr>
          <w:p w14:paraId="3E9186CF" w14:textId="77777777" w:rsidR="00AC1D49" w:rsidRPr="000E063D" w:rsidRDefault="00AC1D49" w:rsidP="00AC1D49">
            <w:pPr>
              <w:spacing w:after="0"/>
              <w:jc w:val="center"/>
              <w:rPr>
                <w:rFonts w:ascii="Tw Cen MT" w:hAnsi="Tw Cen MT"/>
                <w:color w:val="404040"/>
                <w:sz w:val="20"/>
              </w:rPr>
            </w:pPr>
            <w:r w:rsidRPr="000E063D">
              <w:rPr>
                <w:rFonts w:ascii="Tw Cen MT" w:hAnsi="Tw Cen MT"/>
                <w:color w:val="404040"/>
                <w:sz w:val="20"/>
              </w:rPr>
              <w:t>5</w:t>
            </w:r>
          </w:p>
        </w:tc>
        <w:tc>
          <w:tcPr>
            <w:tcW w:w="1477" w:type="dxa"/>
            <w:tcBorders>
              <w:bottom w:val="single" w:sz="4" w:space="0" w:color="auto"/>
            </w:tcBorders>
            <w:shd w:val="clear" w:color="auto" w:fill="000000" w:themeFill="text1"/>
            <w:vAlign w:val="center"/>
          </w:tcPr>
          <w:p w14:paraId="6FED7D4D" w14:textId="77777777" w:rsidR="00AC1D49" w:rsidRPr="000E063D" w:rsidRDefault="00AC1D49" w:rsidP="00AC1D49">
            <w:pPr>
              <w:spacing w:after="0"/>
              <w:jc w:val="center"/>
              <w:rPr>
                <w:rFonts w:ascii="Tw Cen MT" w:hAnsi="Tw Cen MT"/>
                <w:color w:val="404040"/>
                <w:sz w:val="20"/>
              </w:rPr>
            </w:pPr>
          </w:p>
        </w:tc>
        <w:tc>
          <w:tcPr>
            <w:tcW w:w="1350" w:type="dxa"/>
            <w:shd w:val="clear" w:color="auto" w:fill="000000" w:themeFill="text1"/>
            <w:vAlign w:val="center"/>
          </w:tcPr>
          <w:p w14:paraId="04ECE578" w14:textId="77777777" w:rsidR="00AC1D49" w:rsidRPr="000E063D" w:rsidRDefault="00AC1D49" w:rsidP="00AC1D49">
            <w:pPr>
              <w:spacing w:after="0"/>
              <w:jc w:val="center"/>
              <w:rPr>
                <w:rFonts w:ascii="Tw Cen MT" w:hAnsi="Tw Cen MT"/>
                <w:color w:val="404040"/>
                <w:sz w:val="20"/>
              </w:rPr>
            </w:pPr>
          </w:p>
        </w:tc>
        <w:tc>
          <w:tcPr>
            <w:tcW w:w="1223" w:type="dxa"/>
            <w:shd w:val="clear" w:color="auto" w:fill="000000" w:themeFill="text1"/>
            <w:vAlign w:val="center"/>
          </w:tcPr>
          <w:p w14:paraId="0F2BCEB0" w14:textId="77777777" w:rsidR="00AC1D49" w:rsidRPr="000E063D" w:rsidRDefault="00AC1D49" w:rsidP="00AC1D49">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1EA50238" w14:textId="77777777" w:rsidR="00AC1D49" w:rsidRPr="000E063D" w:rsidRDefault="00AC1D49" w:rsidP="00AC1D49">
            <w:pPr>
              <w:spacing w:after="0"/>
              <w:jc w:val="center"/>
              <w:rPr>
                <w:rFonts w:ascii="Tw Cen MT" w:hAnsi="Tw Cen MT"/>
                <w:color w:val="404040"/>
                <w:sz w:val="20"/>
              </w:rPr>
            </w:pPr>
          </w:p>
        </w:tc>
      </w:tr>
      <w:tr w:rsidR="00AC1D49" w:rsidRPr="000E063D" w14:paraId="010FEEDB" w14:textId="77777777" w:rsidTr="00AC1D49">
        <w:trPr>
          <w:cantSplit/>
          <w:trHeight w:val="260"/>
          <w:jc w:val="center"/>
        </w:trPr>
        <w:tc>
          <w:tcPr>
            <w:tcW w:w="827" w:type="dxa"/>
            <w:tcBorders>
              <w:bottom w:val="single" w:sz="4" w:space="0" w:color="auto"/>
            </w:tcBorders>
            <w:vAlign w:val="center"/>
          </w:tcPr>
          <w:p w14:paraId="72C3FCE8" w14:textId="77777777" w:rsidR="00AC1D49" w:rsidRPr="000E063D" w:rsidRDefault="00AC1D49" w:rsidP="00AC1D49">
            <w:pPr>
              <w:spacing w:after="0"/>
              <w:jc w:val="center"/>
              <w:rPr>
                <w:rFonts w:ascii="Tw Cen MT" w:hAnsi="Tw Cen MT"/>
                <w:color w:val="404040"/>
                <w:sz w:val="20"/>
              </w:rPr>
            </w:pPr>
            <w:r w:rsidRPr="000E063D">
              <w:rPr>
                <w:rFonts w:ascii="Tw Cen MT" w:hAnsi="Tw Cen MT"/>
                <w:color w:val="404040"/>
                <w:sz w:val="20"/>
              </w:rPr>
              <w:t>6</w:t>
            </w:r>
          </w:p>
        </w:tc>
        <w:tc>
          <w:tcPr>
            <w:tcW w:w="1477" w:type="dxa"/>
            <w:tcBorders>
              <w:bottom w:val="single" w:sz="4" w:space="0" w:color="auto"/>
            </w:tcBorders>
            <w:shd w:val="clear" w:color="auto" w:fill="000000" w:themeFill="text1"/>
            <w:vAlign w:val="center"/>
          </w:tcPr>
          <w:p w14:paraId="63CA4DC9" w14:textId="77777777" w:rsidR="00AC1D49" w:rsidRPr="000E063D" w:rsidRDefault="00AC1D49" w:rsidP="00AC1D49">
            <w:pPr>
              <w:spacing w:after="0"/>
              <w:jc w:val="center"/>
              <w:rPr>
                <w:rFonts w:ascii="Tw Cen MT" w:hAnsi="Tw Cen MT"/>
                <w:color w:val="404040"/>
                <w:sz w:val="20"/>
              </w:rPr>
            </w:pPr>
          </w:p>
        </w:tc>
        <w:tc>
          <w:tcPr>
            <w:tcW w:w="1350" w:type="dxa"/>
            <w:shd w:val="clear" w:color="auto" w:fill="000000" w:themeFill="text1"/>
            <w:vAlign w:val="center"/>
          </w:tcPr>
          <w:p w14:paraId="6316FB73" w14:textId="77777777" w:rsidR="00AC1D49" w:rsidRPr="000E063D" w:rsidRDefault="00AC1D49" w:rsidP="00AC1D49">
            <w:pPr>
              <w:spacing w:after="0"/>
              <w:jc w:val="center"/>
              <w:rPr>
                <w:rFonts w:ascii="Tw Cen MT" w:hAnsi="Tw Cen MT"/>
                <w:color w:val="404040"/>
                <w:sz w:val="20"/>
              </w:rPr>
            </w:pPr>
          </w:p>
        </w:tc>
        <w:tc>
          <w:tcPr>
            <w:tcW w:w="1223" w:type="dxa"/>
            <w:shd w:val="clear" w:color="auto" w:fill="000000" w:themeFill="text1"/>
            <w:vAlign w:val="center"/>
          </w:tcPr>
          <w:p w14:paraId="03B9460B" w14:textId="77777777" w:rsidR="00AC1D49" w:rsidRPr="000E063D" w:rsidRDefault="00AC1D49" w:rsidP="00AC1D49">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75C0D09C" w14:textId="77777777" w:rsidR="00AC1D49" w:rsidRPr="000E063D" w:rsidRDefault="00AC1D49" w:rsidP="00AC1D49">
            <w:pPr>
              <w:spacing w:after="0"/>
              <w:jc w:val="center"/>
              <w:rPr>
                <w:rFonts w:ascii="Tw Cen MT" w:hAnsi="Tw Cen MT"/>
                <w:color w:val="404040"/>
                <w:sz w:val="20"/>
              </w:rPr>
            </w:pPr>
          </w:p>
        </w:tc>
      </w:tr>
      <w:tr w:rsidR="00AC1D49" w:rsidRPr="000E063D" w14:paraId="5BE618D8" w14:textId="77777777" w:rsidTr="00AC1D49">
        <w:trPr>
          <w:cantSplit/>
          <w:trHeight w:val="260"/>
          <w:jc w:val="center"/>
        </w:trPr>
        <w:tc>
          <w:tcPr>
            <w:tcW w:w="827" w:type="dxa"/>
            <w:tcBorders>
              <w:bottom w:val="single" w:sz="4" w:space="0" w:color="auto"/>
            </w:tcBorders>
            <w:vAlign w:val="center"/>
          </w:tcPr>
          <w:p w14:paraId="5B4AF68A" w14:textId="77777777" w:rsidR="00AC1D49" w:rsidRPr="000E063D" w:rsidRDefault="00AC1D49" w:rsidP="00AC1D49">
            <w:pPr>
              <w:spacing w:after="0"/>
              <w:jc w:val="center"/>
              <w:rPr>
                <w:rFonts w:ascii="Tw Cen MT" w:hAnsi="Tw Cen MT"/>
                <w:color w:val="404040"/>
                <w:sz w:val="20"/>
              </w:rPr>
            </w:pPr>
            <w:r w:rsidRPr="000E063D">
              <w:rPr>
                <w:rFonts w:ascii="Tw Cen MT" w:hAnsi="Tw Cen MT"/>
                <w:color w:val="404040"/>
                <w:sz w:val="20"/>
              </w:rPr>
              <w:t>7</w:t>
            </w:r>
          </w:p>
        </w:tc>
        <w:tc>
          <w:tcPr>
            <w:tcW w:w="1477" w:type="dxa"/>
            <w:tcBorders>
              <w:bottom w:val="single" w:sz="4" w:space="0" w:color="auto"/>
            </w:tcBorders>
            <w:shd w:val="clear" w:color="auto" w:fill="000000" w:themeFill="text1"/>
            <w:vAlign w:val="center"/>
          </w:tcPr>
          <w:p w14:paraId="65E0E1B3" w14:textId="77777777" w:rsidR="00AC1D49" w:rsidRPr="000E063D" w:rsidRDefault="00AC1D49" w:rsidP="00AC1D49">
            <w:pPr>
              <w:spacing w:after="0"/>
              <w:jc w:val="center"/>
              <w:rPr>
                <w:rFonts w:ascii="Tw Cen MT" w:hAnsi="Tw Cen MT"/>
                <w:color w:val="404040"/>
                <w:sz w:val="20"/>
              </w:rPr>
            </w:pPr>
          </w:p>
        </w:tc>
        <w:tc>
          <w:tcPr>
            <w:tcW w:w="1350" w:type="dxa"/>
            <w:shd w:val="clear" w:color="auto" w:fill="000000" w:themeFill="text1"/>
            <w:vAlign w:val="center"/>
          </w:tcPr>
          <w:p w14:paraId="7F3F85F6" w14:textId="77777777" w:rsidR="00AC1D49" w:rsidRPr="000E063D" w:rsidRDefault="00AC1D49" w:rsidP="00AC1D49">
            <w:pPr>
              <w:spacing w:after="0"/>
              <w:jc w:val="center"/>
              <w:rPr>
                <w:rFonts w:ascii="Tw Cen MT" w:hAnsi="Tw Cen MT"/>
                <w:color w:val="404040"/>
                <w:sz w:val="20"/>
              </w:rPr>
            </w:pPr>
          </w:p>
        </w:tc>
        <w:tc>
          <w:tcPr>
            <w:tcW w:w="1223" w:type="dxa"/>
            <w:shd w:val="clear" w:color="auto" w:fill="000000" w:themeFill="text1"/>
            <w:vAlign w:val="center"/>
          </w:tcPr>
          <w:p w14:paraId="43032AD3" w14:textId="77777777" w:rsidR="00AC1D49" w:rsidRPr="000E063D" w:rsidRDefault="00AC1D49" w:rsidP="00AC1D49">
            <w:pPr>
              <w:spacing w:after="0"/>
              <w:jc w:val="center"/>
              <w:rPr>
                <w:rFonts w:ascii="Tw Cen MT" w:hAnsi="Tw Cen MT"/>
                <w:color w:val="404040"/>
                <w:sz w:val="20"/>
              </w:rPr>
            </w:pPr>
          </w:p>
        </w:tc>
        <w:tc>
          <w:tcPr>
            <w:tcW w:w="1350" w:type="dxa"/>
            <w:tcBorders>
              <w:bottom w:val="single" w:sz="4" w:space="0" w:color="auto"/>
            </w:tcBorders>
            <w:shd w:val="clear" w:color="auto" w:fill="000000" w:themeFill="text1"/>
            <w:vAlign w:val="center"/>
          </w:tcPr>
          <w:p w14:paraId="6B8EAF40" w14:textId="77777777" w:rsidR="00AC1D49" w:rsidRPr="000E063D" w:rsidRDefault="00AC1D49" w:rsidP="00AC1D49">
            <w:pPr>
              <w:spacing w:after="0"/>
              <w:jc w:val="center"/>
              <w:rPr>
                <w:rFonts w:ascii="Tw Cen MT" w:hAnsi="Tw Cen MT"/>
                <w:color w:val="404040"/>
                <w:sz w:val="20"/>
              </w:rPr>
            </w:pPr>
          </w:p>
        </w:tc>
      </w:tr>
      <w:tr w:rsidR="00AC1D49" w:rsidRPr="000E063D" w14:paraId="2A030947" w14:textId="77777777" w:rsidTr="00AC1D49">
        <w:trPr>
          <w:cantSplit/>
          <w:trHeight w:val="260"/>
          <w:jc w:val="center"/>
        </w:trPr>
        <w:tc>
          <w:tcPr>
            <w:tcW w:w="827" w:type="dxa"/>
            <w:tcBorders>
              <w:bottom w:val="double" w:sz="4" w:space="0" w:color="auto"/>
            </w:tcBorders>
            <w:vAlign w:val="center"/>
          </w:tcPr>
          <w:p w14:paraId="2553F435" w14:textId="77777777" w:rsidR="00AC1D49" w:rsidRPr="000E063D" w:rsidRDefault="00AC1D49" w:rsidP="00AC1D49">
            <w:pPr>
              <w:spacing w:after="0"/>
              <w:jc w:val="center"/>
              <w:rPr>
                <w:rFonts w:ascii="Tw Cen MT" w:hAnsi="Tw Cen MT"/>
                <w:color w:val="404040"/>
                <w:sz w:val="20"/>
              </w:rPr>
            </w:pPr>
            <w:r w:rsidRPr="000E063D">
              <w:rPr>
                <w:rFonts w:ascii="Tw Cen MT" w:hAnsi="Tw Cen MT"/>
                <w:color w:val="404040"/>
                <w:sz w:val="20"/>
              </w:rPr>
              <w:t>8</w:t>
            </w:r>
          </w:p>
        </w:tc>
        <w:tc>
          <w:tcPr>
            <w:tcW w:w="1477" w:type="dxa"/>
            <w:tcBorders>
              <w:bottom w:val="double" w:sz="4" w:space="0" w:color="auto"/>
            </w:tcBorders>
            <w:shd w:val="clear" w:color="auto" w:fill="000000" w:themeFill="text1"/>
            <w:vAlign w:val="center"/>
          </w:tcPr>
          <w:p w14:paraId="20CC51A6" w14:textId="77777777" w:rsidR="00AC1D49" w:rsidRPr="000E063D" w:rsidRDefault="00AC1D49" w:rsidP="00AC1D49">
            <w:pPr>
              <w:spacing w:after="0"/>
              <w:jc w:val="center"/>
              <w:rPr>
                <w:rFonts w:ascii="Tw Cen MT" w:hAnsi="Tw Cen MT"/>
                <w:color w:val="404040"/>
                <w:sz w:val="20"/>
              </w:rPr>
            </w:pPr>
          </w:p>
        </w:tc>
        <w:tc>
          <w:tcPr>
            <w:tcW w:w="1350" w:type="dxa"/>
            <w:tcBorders>
              <w:bottom w:val="double" w:sz="4" w:space="0" w:color="auto"/>
            </w:tcBorders>
            <w:shd w:val="clear" w:color="auto" w:fill="000000" w:themeFill="text1"/>
            <w:vAlign w:val="center"/>
          </w:tcPr>
          <w:p w14:paraId="59651037" w14:textId="77777777" w:rsidR="00AC1D49" w:rsidRPr="000E063D" w:rsidRDefault="00AC1D49" w:rsidP="00AC1D49">
            <w:pPr>
              <w:spacing w:after="0"/>
              <w:jc w:val="center"/>
              <w:rPr>
                <w:rFonts w:ascii="Tw Cen MT" w:hAnsi="Tw Cen MT"/>
                <w:color w:val="404040"/>
                <w:sz w:val="20"/>
              </w:rPr>
            </w:pPr>
          </w:p>
        </w:tc>
        <w:tc>
          <w:tcPr>
            <w:tcW w:w="1223" w:type="dxa"/>
            <w:tcBorders>
              <w:bottom w:val="double" w:sz="4" w:space="0" w:color="auto"/>
            </w:tcBorders>
            <w:shd w:val="clear" w:color="auto" w:fill="000000" w:themeFill="text1"/>
            <w:vAlign w:val="center"/>
          </w:tcPr>
          <w:p w14:paraId="152BEFB1" w14:textId="77777777" w:rsidR="00AC1D49" w:rsidRPr="000E063D" w:rsidRDefault="00AC1D49" w:rsidP="00AC1D49">
            <w:pPr>
              <w:spacing w:after="0"/>
              <w:jc w:val="center"/>
              <w:rPr>
                <w:rFonts w:ascii="Tw Cen MT" w:hAnsi="Tw Cen MT"/>
                <w:color w:val="404040"/>
                <w:sz w:val="20"/>
              </w:rPr>
            </w:pPr>
          </w:p>
        </w:tc>
        <w:tc>
          <w:tcPr>
            <w:tcW w:w="1350" w:type="dxa"/>
            <w:tcBorders>
              <w:bottom w:val="double" w:sz="4" w:space="0" w:color="auto"/>
            </w:tcBorders>
            <w:shd w:val="clear" w:color="auto" w:fill="000000" w:themeFill="text1"/>
            <w:vAlign w:val="center"/>
          </w:tcPr>
          <w:p w14:paraId="51970762" w14:textId="77777777" w:rsidR="00AC1D49" w:rsidRPr="000E063D" w:rsidRDefault="00AC1D49" w:rsidP="00AC1D49">
            <w:pPr>
              <w:spacing w:after="0"/>
              <w:jc w:val="center"/>
              <w:rPr>
                <w:rFonts w:ascii="Tw Cen MT" w:hAnsi="Tw Cen MT"/>
                <w:color w:val="404040"/>
                <w:sz w:val="20"/>
              </w:rPr>
            </w:pPr>
          </w:p>
        </w:tc>
      </w:tr>
      <w:tr w:rsidR="00AC1D49" w:rsidRPr="000E063D" w14:paraId="4E5D0044" w14:textId="77777777" w:rsidTr="002D4995">
        <w:trPr>
          <w:cantSplit/>
          <w:trHeight w:val="240"/>
          <w:jc w:val="center"/>
        </w:trPr>
        <w:tc>
          <w:tcPr>
            <w:tcW w:w="827" w:type="dxa"/>
            <w:tcBorders>
              <w:top w:val="double" w:sz="4" w:space="0" w:color="auto"/>
              <w:bottom w:val="single" w:sz="4" w:space="0" w:color="auto"/>
            </w:tcBorders>
            <w:vAlign w:val="center"/>
          </w:tcPr>
          <w:p w14:paraId="5187B7FE" w14:textId="77777777" w:rsidR="00AC1D49" w:rsidRPr="000E063D" w:rsidRDefault="00AC1D49" w:rsidP="00AC1D49">
            <w:pPr>
              <w:spacing w:after="0"/>
              <w:jc w:val="center"/>
              <w:rPr>
                <w:rFonts w:ascii="Tw Cen MT" w:hAnsi="Tw Cen MT"/>
                <w:color w:val="404040"/>
                <w:sz w:val="20"/>
              </w:rPr>
            </w:pPr>
            <w:r w:rsidRPr="000E063D">
              <w:rPr>
                <w:rFonts w:ascii="Tw Cen MT" w:hAnsi="Tw Cen MT"/>
                <w:color w:val="404040"/>
                <w:sz w:val="20"/>
              </w:rPr>
              <w:t xml:space="preserve">All </w:t>
            </w:r>
          </w:p>
        </w:tc>
        <w:tc>
          <w:tcPr>
            <w:tcW w:w="1477" w:type="dxa"/>
            <w:tcBorders>
              <w:top w:val="double" w:sz="4" w:space="0" w:color="auto"/>
              <w:bottom w:val="single" w:sz="4" w:space="0" w:color="auto"/>
            </w:tcBorders>
            <w:vAlign w:val="center"/>
          </w:tcPr>
          <w:p w14:paraId="5EAA64E3" w14:textId="1043545F" w:rsidR="00AC1D49" w:rsidRPr="000E063D" w:rsidRDefault="00D86FF0" w:rsidP="00AC1D49">
            <w:pPr>
              <w:spacing w:after="0"/>
              <w:jc w:val="center"/>
              <w:rPr>
                <w:rFonts w:ascii="Tw Cen MT" w:hAnsi="Tw Cen MT"/>
                <w:color w:val="404040"/>
                <w:sz w:val="20"/>
              </w:rPr>
            </w:pPr>
            <w:r>
              <w:rPr>
                <w:rFonts w:ascii="Tw Cen MT" w:hAnsi="Tw Cen MT"/>
                <w:color w:val="404040"/>
                <w:sz w:val="20"/>
              </w:rPr>
              <w:t>14%</w:t>
            </w:r>
          </w:p>
        </w:tc>
        <w:tc>
          <w:tcPr>
            <w:tcW w:w="1350" w:type="dxa"/>
            <w:tcBorders>
              <w:top w:val="double" w:sz="4" w:space="0" w:color="auto"/>
              <w:bottom w:val="single" w:sz="4" w:space="0" w:color="auto"/>
            </w:tcBorders>
            <w:vAlign w:val="center"/>
          </w:tcPr>
          <w:p w14:paraId="49ED3B98" w14:textId="2AEF35D9" w:rsidR="00AC1D49" w:rsidRPr="000E063D" w:rsidRDefault="00F57561" w:rsidP="00AC1D49">
            <w:pPr>
              <w:spacing w:after="0"/>
              <w:jc w:val="center"/>
              <w:rPr>
                <w:rFonts w:ascii="Tw Cen MT" w:hAnsi="Tw Cen MT"/>
                <w:color w:val="404040"/>
                <w:sz w:val="20"/>
              </w:rPr>
            </w:pPr>
            <w:r>
              <w:rPr>
                <w:rFonts w:ascii="Tw Cen MT" w:hAnsi="Tw Cen MT"/>
                <w:color w:val="404040"/>
                <w:sz w:val="20"/>
              </w:rPr>
              <w:t>164</w:t>
            </w:r>
          </w:p>
        </w:tc>
        <w:tc>
          <w:tcPr>
            <w:tcW w:w="1223" w:type="dxa"/>
            <w:tcBorders>
              <w:top w:val="double" w:sz="4" w:space="0" w:color="auto"/>
              <w:bottom w:val="single" w:sz="4" w:space="0" w:color="auto"/>
            </w:tcBorders>
            <w:vAlign w:val="center"/>
          </w:tcPr>
          <w:p w14:paraId="2D141BF9" w14:textId="69B4F571" w:rsidR="00AC1D49" w:rsidRPr="000E063D" w:rsidRDefault="009B2F88" w:rsidP="00AC1D49">
            <w:pPr>
              <w:spacing w:after="0"/>
              <w:jc w:val="center"/>
              <w:rPr>
                <w:rFonts w:ascii="Tw Cen MT" w:hAnsi="Tw Cen MT"/>
                <w:color w:val="404040"/>
                <w:sz w:val="20"/>
              </w:rPr>
            </w:pPr>
            <w:r>
              <w:rPr>
                <w:rFonts w:ascii="Tw Cen MT" w:hAnsi="Tw Cen MT"/>
                <w:color w:val="404040"/>
                <w:sz w:val="20"/>
              </w:rPr>
              <w:t>15%</w:t>
            </w:r>
          </w:p>
        </w:tc>
        <w:tc>
          <w:tcPr>
            <w:tcW w:w="1350" w:type="dxa"/>
            <w:tcBorders>
              <w:top w:val="double" w:sz="4" w:space="0" w:color="auto"/>
              <w:bottom w:val="single" w:sz="4" w:space="0" w:color="auto"/>
            </w:tcBorders>
            <w:vAlign w:val="center"/>
          </w:tcPr>
          <w:p w14:paraId="7781EC8E" w14:textId="58816479" w:rsidR="00AC1D49" w:rsidRPr="000E063D" w:rsidRDefault="009B2F88" w:rsidP="00AC1D49">
            <w:pPr>
              <w:spacing w:after="0"/>
              <w:jc w:val="center"/>
              <w:rPr>
                <w:rFonts w:ascii="Tw Cen MT" w:hAnsi="Tw Cen MT"/>
                <w:color w:val="404040"/>
                <w:sz w:val="20"/>
              </w:rPr>
            </w:pPr>
            <w:r>
              <w:rPr>
                <w:rFonts w:ascii="Tw Cen MT" w:hAnsi="Tw Cen MT"/>
                <w:color w:val="404040"/>
                <w:sz w:val="20"/>
              </w:rPr>
              <w:t>153</w:t>
            </w:r>
          </w:p>
        </w:tc>
      </w:tr>
    </w:tbl>
    <w:p w14:paraId="61088EFA" w14:textId="77777777" w:rsidR="00A11B5F" w:rsidRPr="000E063D" w:rsidRDefault="00A11B5F" w:rsidP="007C591A">
      <w:pPr>
        <w:spacing w:after="160" w:line="259" w:lineRule="auto"/>
        <w:rPr>
          <w:rFonts w:ascii="Tw Cen MT" w:eastAsia="Calibri" w:hAnsi="Tw Cen MT"/>
          <w:color w:val="auto"/>
          <w:sz w:val="22"/>
          <w:szCs w:val="22"/>
        </w:rPr>
      </w:pPr>
    </w:p>
    <w:p w14:paraId="056F6505" w14:textId="1D36701B" w:rsidR="007C591A" w:rsidRPr="000E063D" w:rsidRDefault="007C591A" w:rsidP="007C591A">
      <w:pPr>
        <w:widowControl w:val="0"/>
        <w:shd w:val="clear" w:color="auto" w:fill="8DB3E2"/>
        <w:spacing w:after="40"/>
        <w:jc w:val="center"/>
        <w:rPr>
          <w:rFonts w:ascii="Tw Cen MT" w:hAnsi="Tw Cen MT"/>
          <w:color w:val="FFFFFF"/>
        </w:rPr>
      </w:pPr>
      <w:r w:rsidRPr="000E063D">
        <w:rPr>
          <w:rFonts w:ascii="Tw Cen MT" w:hAnsi="Tw Cen MT"/>
          <w:color w:val="FFFFFF"/>
        </w:rPr>
        <w:lastRenderedPageBreak/>
        <w:t>End of Year Growth on 2021-22 NWEA MAP Mathematics</w:t>
      </w:r>
      <w:r w:rsidR="00286F5B">
        <w:rPr>
          <w:rFonts w:ascii="Tw Cen MT" w:hAnsi="Tw Cen MT"/>
          <w:color w:val="FFFFFF"/>
        </w:rPr>
        <w:t xml:space="preserve"> </w:t>
      </w:r>
      <w:r w:rsidRPr="000E063D">
        <w:rPr>
          <w:rFonts w:ascii="Tw Cen MT" w:hAnsi="Tw Cen MT"/>
          <w:color w:val="FFFFFF"/>
        </w:rPr>
        <w:t>Assessment</w:t>
      </w:r>
    </w:p>
    <w:p w14:paraId="1D832246" w14:textId="77777777" w:rsidR="007C591A" w:rsidRPr="000E063D" w:rsidRDefault="007C591A" w:rsidP="007C591A">
      <w:pPr>
        <w:widowControl w:val="0"/>
        <w:shd w:val="clear" w:color="auto" w:fill="8DB3E2"/>
        <w:spacing w:after="40"/>
        <w:jc w:val="center"/>
        <w:rPr>
          <w:rFonts w:ascii="Tw Cen MT" w:hAnsi="Tw Cen MT"/>
          <w:color w:val="FFFFFF"/>
        </w:rPr>
      </w:pPr>
      <w:r w:rsidRPr="000E063D">
        <w:rPr>
          <w:rFonts w:ascii="Tw Cen MT" w:hAnsi="Tw Cen MT"/>
          <w:color w:val="FFFFFF"/>
        </w:rPr>
        <w:t>By All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tblGrid>
      <w:tr w:rsidR="007C591A" w:rsidRPr="000E063D" w14:paraId="119C93F8" w14:textId="77777777" w:rsidTr="002D4995">
        <w:trPr>
          <w:cantSplit/>
          <w:trHeight w:val="611"/>
          <w:jc w:val="center"/>
        </w:trPr>
        <w:tc>
          <w:tcPr>
            <w:tcW w:w="827" w:type="dxa"/>
            <w:vAlign w:val="center"/>
          </w:tcPr>
          <w:p w14:paraId="4AC68669"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Grades</w:t>
            </w:r>
          </w:p>
        </w:tc>
        <w:tc>
          <w:tcPr>
            <w:tcW w:w="1477" w:type="dxa"/>
            <w:vAlign w:val="center"/>
          </w:tcPr>
          <w:p w14:paraId="3D1F3FB7"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Median Growth Percentile</w:t>
            </w:r>
          </w:p>
        </w:tc>
        <w:tc>
          <w:tcPr>
            <w:tcW w:w="1350" w:type="dxa"/>
            <w:vAlign w:val="center"/>
          </w:tcPr>
          <w:p w14:paraId="72DC1396"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Number</w:t>
            </w:r>
          </w:p>
          <w:p w14:paraId="7FE865F6"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 xml:space="preserve">Tested </w:t>
            </w:r>
          </w:p>
        </w:tc>
      </w:tr>
      <w:tr w:rsidR="007C591A" w:rsidRPr="000E063D" w14:paraId="2A4A54BD" w14:textId="77777777" w:rsidTr="002D4995">
        <w:trPr>
          <w:cantSplit/>
          <w:trHeight w:val="305"/>
          <w:jc w:val="center"/>
        </w:trPr>
        <w:tc>
          <w:tcPr>
            <w:tcW w:w="827" w:type="dxa"/>
            <w:tcBorders>
              <w:bottom w:val="single" w:sz="4" w:space="0" w:color="auto"/>
            </w:tcBorders>
            <w:vAlign w:val="center"/>
          </w:tcPr>
          <w:p w14:paraId="3EE53F7A" w14:textId="77777777" w:rsidR="007C591A" w:rsidRDefault="007C591A" w:rsidP="002D4995">
            <w:pPr>
              <w:spacing w:after="0"/>
              <w:jc w:val="center"/>
              <w:rPr>
                <w:rFonts w:ascii="Tw Cen MT" w:hAnsi="Tw Cen MT"/>
                <w:color w:val="404040"/>
                <w:sz w:val="20"/>
              </w:rPr>
            </w:pPr>
            <w:r>
              <w:rPr>
                <w:rFonts w:ascii="Tw Cen MT" w:hAnsi="Tw Cen MT"/>
                <w:color w:val="404040"/>
                <w:sz w:val="20"/>
              </w:rPr>
              <w:t>K</w:t>
            </w:r>
          </w:p>
        </w:tc>
        <w:tc>
          <w:tcPr>
            <w:tcW w:w="1477" w:type="dxa"/>
            <w:tcBorders>
              <w:bottom w:val="single" w:sz="4" w:space="0" w:color="auto"/>
            </w:tcBorders>
            <w:vAlign w:val="center"/>
          </w:tcPr>
          <w:p w14:paraId="7BC0EF80" w14:textId="4B62ECBE" w:rsidR="007C591A" w:rsidRPr="000E063D" w:rsidRDefault="0053210C" w:rsidP="002D4995">
            <w:pPr>
              <w:spacing w:after="0"/>
              <w:jc w:val="center"/>
              <w:rPr>
                <w:rFonts w:ascii="Tw Cen MT" w:hAnsi="Tw Cen MT"/>
                <w:color w:val="404040"/>
                <w:sz w:val="20"/>
              </w:rPr>
            </w:pPr>
            <w:r>
              <w:rPr>
                <w:rFonts w:ascii="Tw Cen MT" w:hAnsi="Tw Cen MT"/>
                <w:color w:val="404040"/>
                <w:sz w:val="20"/>
              </w:rPr>
              <w:t>66</w:t>
            </w:r>
          </w:p>
        </w:tc>
        <w:tc>
          <w:tcPr>
            <w:tcW w:w="1350" w:type="dxa"/>
            <w:vAlign w:val="center"/>
          </w:tcPr>
          <w:p w14:paraId="33B10CF1" w14:textId="7B9582B7" w:rsidR="007C591A" w:rsidRPr="000E063D" w:rsidRDefault="0053210C" w:rsidP="002D4995">
            <w:pPr>
              <w:spacing w:after="0"/>
              <w:jc w:val="center"/>
              <w:rPr>
                <w:rFonts w:ascii="Tw Cen MT" w:hAnsi="Tw Cen MT"/>
                <w:color w:val="404040"/>
                <w:sz w:val="20"/>
              </w:rPr>
            </w:pPr>
            <w:r>
              <w:rPr>
                <w:rFonts w:ascii="Tw Cen MT" w:hAnsi="Tw Cen MT"/>
                <w:color w:val="404040"/>
                <w:sz w:val="20"/>
              </w:rPr>
              <w:t>50</w:t>
            </w:r>
          </w:p>
        </w:tc>
      </w:tr>
      <w:tr w:rsidR="007C591A" w:rsidRPr="000E063D" w14:paraId="045ECF73" w14:textId="77777777" w:rsidTr="002D4995">
        <w:trPr>
          <w:cantSplit/>
          <w:trHeight w:val="305"/>
          <w:jc w:val="center"/>
        </w:trPr>
        <w:tc>
          <w:tcPr>
            <w:tcW w:w="827" w:type="dxa"/>
            <w:tcBorders>
              <w:bottom w:val="single" w:sz="4" w:space="0" w:color="auto"/>
            </w:tcBorders>
            <w:vAlign w:val="center"/>
          </w:tcPr>
          <w:p w14:paraId="00A1B2AD" w14:textId="77777777" w:rsidR="007C591A" w:rsidRDefault="007C591A" w:rsidP="002D4995">
            <w:pPr>
              <w:spacing w:after="0"/>
              <w:jc w:val="center"/>
              <w:rPr>
                <w:rFonts w:ascii="Tw Cen MT" w:hAnsi="Tw Cen MT"/>
                <w:color w:val="404040"/>
                <w:sz w:val="20"/>
              </w:rPr>
            </w:pPr>
            <w:r>
              <w:rPr>
                <w:rFonts w:ascii="Tw Cen MT" w:hAnsi="Tw Cen MT"/>
                <w:color w:val="404040"/>
                <w:sz w:val="20"/>
              </w:rPr>
              <w:t>1</w:t>
            </w:r>
          </w:p>
        </w:tc>
        <w:tc>
          <w:tcPr>
            <w:tcW w:w="1477" w:type="dxa"/>
            <w:tcBorders>
              <w:bottom w:val="single" w:sz="4" w:space="0" w:color="auto"/>
            </w:tcBorders>
            <w:vAlign w:val="center"/>
          </w:tcPr>
          <w:p w14:paraId="56504C6C" w14:textId="691E7C20" w:rsidR="007C591A" w:rsidRPr="000E063D" w:rsidRDefault="0053210C" w:rsidP="002D4995">
            <w:pPr>
              <w:spacing w:after="0"/>
              <w:jc w:val="center"/>
              <w:rPr>
                <w:rFonts w:ascii="Tw Cen MT" w:hAnsi="Tw Cen MT"/>
                <w:color w:val="404040"/>
                <w:sz w:val="20"/>
              </w:rPr>
            </w:pPr>
            <w:r>
              <w:rPr>
                <w:rFonts w:ascii="Tw Cen MT" w:hAnsi="Tw Cen MT"/>
                <w:color w:val="404040"/>
                <w:sz w:val="20"/>
              </w:rPr>
              <w:t>70</w:t>
            </w:r>
          </w:p>
        </w:tc>
        <w:tc>
          <w:tcPr>
            <w:tcW w:w="1350" w:type="dxa"/>
            <w:vAlign w:val="center"/>
          </w:tcPr>
          <w:p w14:paraId="6190A034" w14:textId="5DDFB47A" w:rsidR="007C591A" w:rsidRPr="000E063D" w:rsidRDefault="0053210C" w:rsidP="002D4995">
            <w:pPr>
              <w:spacing w:after="0"/>
              <w:jc w:val="center"/>
              <w:rPr>
                <w:rFonts w:ascii="Tw Cen MT" w:hAnsi="Tw Cen MT"/>
                <w:color w:val="404040"/>
                <w:sz w:val="20"/>
              </w:rPr>
            </w:pPr>
            <w:r>
              <w:rPr>
                <w:rFonts w:ascii="Tw Cen MT" w:hAnsi="Tw Cen MT"/>
                <w:color w:val="404040"/>
                <w:sz w:val="20"/>
              </w:rPr>
              <w:t>49</w:t>
            </w:r>
          </w:p>
        </w:tc>
      </w:tr>
      <w:tr w:rsidR="007C591A" w:rsidRPr="000E063D" w14:paraId="03927623" w14:textId="77777777" w:rsidTr="002D4995">
        <w:trPr>
          <w:cantSplit/>
          <w:trHeight w:val="305"/>
          <w:jc w:val="center"/>
        </w:trPr>
        <w:tc>
          <w:tcPr>
            <w:tcW w:w="827" w:type="dxa"/>
            <w:tcBorders>
              <w:bottom w:val="single" w:sz="4" w:space="0" w:color="auto"/>
            </w:tcBorders>
            <w:vAlign w:val="center"/>
          </w:tcPr>
          <w:p w14:paraId="4449191D" w14:textId="77777777" w:rsidR="007C591A" w:rsidRPr="000E063D" w:rsidRDefault="007C591A" w:rsidP="002D4995">
            <w:pPr>
              <w:spacing w:after="0"/>
              <w:jc w:val="center"/>
              <w:rPr>
                <w:rFonts w:ascii="Tw Cen MT" w:hAnsi="Tw Cen MT"/>
                <w:color w:val="404040"/>
                <w:sz w:val="20"/>
              </w:rPr>
            </w:pPr>
            <w:r>
              <w:rPr>
                <w:rFonts w:ascii="Tw Cen MT" w:hAnsi="Tw Cen MT"/>
                <w:color w:val="404040"/>
                <w:sz w:val="20"/>
              </w:rPr>
              <w:t>2</w:t>
            </w:r>
          </w:p>
        </w:tc>
        <w:tc>
          <w:tcPr>
            <w:tcW w:w="1477" w:type="dxa"/>
            <w:tcBorders>
              <w:bottom w:val="single" w:sz="4" w:space="0" w:color="auto"/>
            </w:tcBorders>
            <w:vAlign w:val="center"/>
          </w:tcPr>
          <w:p w14:paraId="43553910" w14:textId="223DFD54" w:rsidR="007C591A" w:rsidRPr="000E063D" w:rsidRDefault="0053210C" w:rsidP="002D4995">
            <w:pPr>
              <w:spacing w:after="0"/>
              <w:jc w:val="center"/>
              <w:rPr>
                <w:rFonts w:ascii="Tw Cen MT" w:hAnsi="Tw Cen MT"/>
                <w:color w:val="404040"/>
                <w:sz w:val="20"/>
              </w:rPr>
            </w:pPr>
            <w:r>
              <w:rPr>
                <w:rFonts w:ascii="Tw Cen MT" w:hAnsi="Tw Cen MT"/>
                <w:color w:val="404040"/>
                <w:sz w:val="20"/>
              </w:rPr>
              <w:t>49</w:t>
            </w:r>
          </w:p>
        </w:tc>
        <w:tc>
          <w:tcPr>
            <w:tcW w:w="1350" w:type="dxa"/>
            <w:vAlign w:val="center"/>
          </w:tcPr>
          <w:p w14:paraId="377AF840" w14:textId="4126D454" w:rsidR="007C591A" w:rsidRPr="000E063D" w:rsidRDefault="0053210C" w:rsidP="002D4995">
            <w:pPr>
              <w:spacing w:after="0"/>
              <w:jc w:val="center"/>
              <w:rPr>
                <w:rFonts w:ascii="Tw Cen MT" w:hAnsi="Tw Cen MT"/>
                <w:color w:val="404040"/>
                <w:sz w:val="20"/>
              </w:rPr>
            </w:pPr>
            <w:r>
              <w:rPr>
                <w:rFonts w:ascii="Tw Cen MT" w:hAnsi="Tw Cen MT"/>
                <w:color w:val="404040"/>
                <w:sz w:val="20"/>
              </w:rPr>
              <w:t>55</w:t>
            </w:r>
          </w:p>
        </w:tc>
      </w:tr>
      <w:tr w:rsidR="007C591A" w:rsidRPr="000E063D" w14:paraId="4989A31E" w14:textId="77777777" w:rsidTr="002D4995">
        <w:trPr>
          <w:cantSplit/>
          <w:trHeight w:val="305"/>
          <w:jc w:val="center"/>
        </w:trPr>
        <w:tc>
          <w:tcPr>
            <w:tcW w:w="827" w:type="dxa"/>
            <w:tcBorders>
              <w:bottom w:val="single" w:sz="4" w:space="0" w:color="auto"/>
            </w:tcBorders>
            <w:vAlign w:val="center"/>
          </w:tcPr>
          <w:p w14:paraId="24CAC9C0"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3</w:t>
            </w:r>
          </w:p>
        </w:tc>
        <w:tc>
          <w:tcPr>
            <w:tcW w:w="1477" w:type="dxa"/>
            <w:tcBorders>
              <w:bottom w:val="single" w:sz="4" w:space="0" w:color="auto"/>
            </w:tcBorders>
            <w:vAlign w:val="center"/>
          </w:tcPr>
          <w:p w14:paraId="12AA8499" w14:textId="2172E07E" w:rsidR="007C591A" w:rsidRPr="000E063D" w:rsidRDefault="0053210C" w:rsidP="002D4995">
            <w:pPr>
              <w:spacing w:after="0"/>
              <w:jc w:val="center"/>
              <w:rPr>
                <w:rFonts w:ascii="Tw Cen MT" w:hAnsi="Tw Cen MT"/>
                <w:color w:val="404040"/>
                <w:sz w:val="20"/>
              </w:rPr>
            </w:pPr>
            <w:r>
              <w:rPr>
                <w:rFonts w:ascii="Tw Cen MT" w:hAnsi="Tw Cen MT"/>
                <w:color w:val="404040"/>
                <w:sz w:val="20"/>
              </w:rPr>
              <w:t>66</w:t>
            </w:r>
          </w:p>
        </w:tc>
        <w:tc>
          <w:tcPr>
            <w:tcW w:w="1350" w:type="dxa"/>
            <w:vAlign w:val="center"/>
          </w:tcPr>
          <w:p w14:paraId="32AD9DC0" w14:textId="3782BE09" w:rsidR="007C591A" w:rsidRPr="000E063D" w:rsidRDefault="0053210C" w:rsidP="002D4995">
            <w:pPr>
              <w:spacing w:after="0"/>
              <w:jc w:val="center"/>
              <w:rPr>
                <w:rFonts w:ascii="Tw Cen MT" w:hAnsi="Tw Cen MT"/>
                <w:color w:val="404040"/>
                <w:sz w:val="20"/>
              </w:rPr>
            </w:pPr>
            <w:r>
              <w:rPr>
                <w:rFonts w:ascii="Tw Cen MT" w:hAnsi="Tw Cen MT"/>
                <w:color w:val="404040"/>
                <w:sz w:val="20"/>
              </w:rPr>
              <w:t>51</w:t>
            </w:r>
          </w:p>
        </w:tc>
      </w:tr>
      <w:tr w:rsidR="007C591A" w:rsidRPr="000E063D" w14:paraId="2F0E491D" w14:textId="77777777" w:rsidTr="002D4995">
        <w:trPr>
          <w:cantSplit/>
          <w:trHeight w:val="260"/>
          <w:jc w:val="center"/>
        </w:trPr>
        <w:tc>
          <w:tcPr>
            <w:tcW w:w="827" w:type="dxa"/>
            <w:tcBorders>
              <w:bottom w:val="single" w:sz="4" w:space="0" w:color="auto"/>
            </w:tcBorders>
            <w:vAlign w:val="center"/>
          </w:tcPr>
          <w:p w14:paraId="4043A3F8"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4</w:t>
            </w:r>
          </w:p>
        </w:tc>
        <w:tc>
          <w:tcPr>
            <w:tcW w:w="1477" w:type="dxa"/>
            <w:tcBorders>
              <w:bottom w:val="single" w:sz="4" w:space="0" w:color="auto"/>
            </w:tcBorders>
            <w:vAlign w:val="center"/>
          </w:tcPr>
          <w:p w14:paraId="7DF63469" w14:textId="5D63EEB0" w:rsidR="007C591A" w:rsidRPr="000E063D" w:rsidRDefault="0053210C" w:rsidP="002D4995">
            <w:pPr>
              <w:spacing w:after="0"/>
              <w:jc w:val="center"/>
              <w:rPr>
                <w:rFonts w:ascii="Tw Cen MT" w:hAnsi="Tw Cen MT"/>
                <w:color w:val="404040"/>
                <w:sz w:val="20"/>
              </w:rPr>
            </w:pPr>
            <w:r>
              <w:rPr>
                <w:rFonts w:ascii="Tw Cen MT" w:hAnsi="Tw Cen MT"/>
                <w:color w:val="404040"/>
                <w:sz w:val="20"/>
              </w:rPr>
              <w:t>62</w:t>
            </w:r>
          </w:p>
        </w:tc>
        <w:tc>
          <w:tcPr>
            <w:tcW w:w="1350" w:type="dxa"/>
            <w:vAlign w:val="center"/>
          </w:tcPr>
          <w:p w14:paraId="69459FBF" w14:textId="653AC110" w:rsidR="007C591A" w:rsidRPr="000E063D" w:rsidRDefault="0053210C" w:rsidP="002D4995">
            <w:pPr>
              <w:spacing w:after="0"/>
              <w:jc w:val="center"/>
              <w:rPr>
                <w:rFonts w:ascii="Tw Cen MT" w:hAnsi="Tw Cen MT"/>
                <w:color w:val="404040"/>
                <w:sz w:val="20"/>
              </w:rPr>
            </w:pPr>
            <w:r>
              <w:rPr>
                <w:rFonts w:ascii="Tw Cen MT" w:hAnsi="Tw Cen MT"/>
                <w:color w:val="404040"/>
                <w:sz w:val="20"/>
              </w:rPr>
              <w:t>52</w:t>
            </w:r>
          </w:p>
        </w:tc>
      </w:tr>
      <w:tr w:rsidR="007C591A" w:rsidRPr="000E063D" w14:paraId="4D7F8384" w14:textId="77777777" w:rsidTr="0037774D">
        <w:trPr>
          <w:cantSplit/>
          <w:trHeight w:val="260"/>
          <w:jc w:val="center"/>
        </w:trPr>
        <w:tc>
          <w:tcPr>
            <w:tcW w:w="827" w:type="dxa"/>
            <w:tcBorders>
              <w:bottom w:val="single" w:sz="4" w:space="0" w:color="auto"/>
            </w:tcBorders>
            <w:vAlign w:val="center"/>
          </w:tcPr>
          <w:p w14:paraId="5217B87F"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5</w:t>
            </w:r>
          </w:p>
        </w:tc>
        <w:tc>
          <w:tcPr>
            <w:tcW w:w="1477" w:type="dxa"/>
            <w:tcBorders>
              <w:bottom w:val="single" w:sz="4" w:space="0" w:color="auto"/>
            </w:tcBorders>
            <w:shd w:val="clear" w:color="auto" w:fill="000000" w:themeFill="text1"/>
            <w:vAlign w:val="center"/>
          </w:tcPr>
          <w:p w14:paraId="730DCD9B" w14:textId="77777777" w:rsidR="007C591A" w:rsidRPr="000E063D" w:rsidRDefault="007C591A" w:rsidP="002D4995">
            <w:pPr>
              <w:spacing w:after="0"/>
              <w:jc w:val="center"/>
              <w:rPr>
                <w:rFonts w:ascii="Tw Cen MT" w:hAnsi="Tw Cen MT"/>
                <w:color w:val="404040"/>
                <w:sz w:val="20"/>
              </w:rPr>
            </w:pPr>
          </w:p>
        </w:tc>
        <w:tc>
          <w:tcPr>
            <w:tcW w:w="1350" w:type="dxa"/>
            <w:shd w:val="clear" w:color="auto" w:fill="000000" w:themeFill="text1"/>
            <w:vAlign w:val="center"/>
          </w:tcPr>
          <w:p w14:paraId="73959B9B" w14:textId="77777777" w:rsidR="007C591A" w:rsidRPr="000E063D" w:rsidRDefault="007C591A" w:rsidP="002D4995">
            <w:pPr>
              <w:spacing w:after="0"/>
              <w:jc w:val="center"/>
              <w:rPr>
                <w:rFonts w:ascii="Tw Cen MT" w:hAnsi="Tw Cen MT"/>
                <w:color w:val="404040"/>
                <w:sz w:val="20"/>
              </w:rPr>
            </w:pPr>
          </w:p>
        </w:tc>
      </w:tr>
      <w:tr w:rsidR="007C591A" w:rsidRPr="000E063D" w14:paraId="60B04A54" w14:textId="77777777" w:rsidTr="0037774D">
        <w:trPr>
          <w:cantSplit/>
          <w:trHeight w:val="260"/>
          <w:jc w:val="center"/>
        </w:trPr>
        <w:tc>
          <w:tcPr>
            <w:tcW w:w="827" w:type="dxa"/>
            <w:tcBorders>
              <w:bottom w:val="single" w:sz="4" w:space="0" w:color="auto"/>
            </w:tcBorders>
            <w:vAlign w:val="center"/>
          </w:tcPr>
          <w:p w14:paraId="2FE542AF"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6</w:t>
            </w:r>
          </w:p>
        </w:tc>
        <w:tc>
          <w:tcPr>
            <w:tcW w:w="1477" w:type="dxa"/>
            <w:tcBorders>
              <w:bottom w:val="single" w:sz="4" w:space="0" w:color="auto"/>
            </w:tcBorders>
            <w:shd w:val="clear" w:color="auto" w:fill="000000" w:themeFill="text1"/>
            <w:vAlign w:val="center"/>
          </w:tcPr>
          <w:p w14:paraId="093C045A" w14:textId="77777777" w:rsidR="007C591A" w:rsidRPr="000E063D" w:rsidRDefault="007C591A" w:rsidP="002D4995">
            <w:pPr>
              <w:spacing w:after="0"/>
              <w:jc w:val="center"/>
              <w:rPr>
                <w:rFonts w:ascii="Tw Cen MT" w:hAnsi="Tw Cen MT"/>
                <w:color w:val="404040"/>
                <w:sz w:val="20"/>
              </w:rPr>
            </w:pPr>
          </w:p>
        </w:tc>
        <w:tc>
          <w:tcPr>
            <w:tcW w:w="1350" w:type="dxa"/>
            <w:shd w:val="clear" w:color="auto" w:fill="000000" w:themeFill="text1"/>
            <w:vAlign w:val="center"/>
          </w:tcPr>
          <w:p w14:paraId="5E7F9CD4" w14:textId="77777777" w:rsidR="007C591A" w:rsidRPr="000E063D" w:rsidRDefault="007C591A" w:rsidP="002D4995">
            <w:pPr>
              <w:spacing w:after="0"/>
              <w:jc w:val="center"/>
              <w:rPr>
                <w:rFonts w:ascii="Tw Cen MT" w:hAnsi="Tw Cen MT"/>
                <w:color w:val="404040"/>
                <w:sz w:val="20"/>
              </w:rPr>
            </w:pPr>
          </w:p>
        </w:tc>
      </w:tr>
      <w:tr w:rsidR="007C591A" w:rsidRPr="000E063D" w14:paraId="20D9A4E9" w14:textId="77777777" w:rsidTr="0037774D">
        <w:trPr>
          <w:cantSplit/>
          <w:trHeight w:val="260"/>
          <w:jc w:val="center"/>
        </w:trPr>
        <w:tc>
          <w:tcPr>
            <w:tcW w:w="827" w:type="dxa"/>
            <w:tcBorders>
              <w:bottom w:val="single" w:sz="4" w:space="0" w:color="auto"/>
            </w:tcBorders>
            <w:vAlign w:val="center"/>
          </w:tcPr>
          <w:p w14:paraId="66206622" w14:textId="77777777" w:rsidR="007C591A" w:rsidRPr="000E063D" w:rsidRDefault="007C591A" w:rsidP="002D4995">
            <w:pPr>
              <w:spacing w:after="0"/>
              <w:jc w:val="center"/>
              <w:rPr>
                <w:rFonts w:ascii="Tw Cen MT" w:hAnsi="Tw Cen MT"/>
                <w:color w:val="404040"/>
                <w:sz w:val="20"/>
              </w:rPr>
            </w:pPr>
            <w:r w:rsidRPr="000E063D">
              <w:rPr>
                <w:rFonts w:ascii="Tw Cen MT" w:hAnsi="Tw Cen MT"/>
                <w:color w:val="404040"/>
                <w:sz w:val="20"/>
              </w:rPr>
              <w:t>7</w:t>
            </w:r>
          </w:p>
        </w:tc>
        <w:tc>
          <w:tcPr>
            <w:tcW w:w="1477" w:type="dxa"/>
            <w:tcBorders>
              <w:bottom w:val="single" w:sz="4" w:space="0" w:color="auto"/>
            </w:tcBorders>
            <w:shd w:val="clear" w:color="auto" w:fill="000000" w:themeFill="text1"/>
            <w:vAlign w:val="center"/>
          </w:tcPr>
          <w:p w14:paraId="03FB1C98" w14:textId="77777777" w:rsidR="007C591A" w:rsidRPr="000E063D" w:rsidRDefault="007C591A" w:rsidP="002D4995">
            <w:pPr>
              <w:spacing w:after="0"/>
              <w:jc w:val="center"/>
              <w:rPr>
                <w:rFonts w:ascii="Tw Cen MT" w:hAnsi="Tw Cen MT"/>
                <w:color w:val="404040"/>
                <w:sz w:val="20"/>
              </w:rPr>
            </w:pPr>
          </w:p>
        </w:tc>
        <w:tc>
          <w:tcPr>
            <w:tcW w:w="1350" w:type="dxa"/>
            <w:shd w:val="clear" w:color="auto" w:fill="000000" w:themeFill="text1"/>
            <w:vAlign w:val="center"/>
          </w:tcPr>
          <w:p w14:paraId="53849875" w14:textId="77777777" w:rsidR="007C591A" w:rsidRPr="000E063D" w:rsidRDefault="007C591A" w:rsidP="002D4995">
            <w:pPr>
              <w:spacing w:after="0"/>
              <w:jc w:val="center"/>
              <w:rPr>
                <w:rFonts w:ascii="Tw Cen MT" w:hAnsi="Tw Cen MT"/>
                <w:color w:val="404040"/>
                <w:sz w:val="20"/>
              </w:rPr>
            </w:pPr>
          </w:p>
        </w:tc>
      </w:tr>
    </w:tbl>
    <w:p w14:paraId="3E6FB78D" w14:textId="77777777" w:rsidR="00CA302E" w:rsidRPr="000E063D" w:rsidRDefault="00CA302E" w:rsidP="00CA302E">
      <w:pPr>
        <w:rPr>
          <w:rFonts w:ascii="Tw Cen MT" w:hAnsi="Tw Cen MT"/>
        </w:rPr>
      </w:pPr>
    </w:p>
    <w:p w14:paraId="0A4477F2" w14:textId="5BB7AB1E" w:rsidR="00CA302E" w:rsidRPr="000E063D" w:rsidRDefault="00CA302E" w:rsidP="00CA302E">
      <w:pPr>
        <w:pStyle w:val="Heading2"/>
        <w:rPr>
          <w:rFonts w:ascii="Tw Cen MT" w:hAnsi="Tw Cen MT"/>
        </w:rPr>
      </w:pPr>
      <w:r w:rsidRPr="000E063D">
        <w:rPr>
          <w:rFonts w:ascii="Tw Cen MT" w:hAnsi="Tw Cen MT"/>
        </w:rPr>
        <w:t xml:space="preserve">Summary of the </w:t>
      </w:r>
      <w:r w:rsidR="00F20F9B" w:rsidRPr="000E063D">
        <w:rPr>
          <w:rFonts w:ascii="Tw Cen MT" w:hAnsi="Tw Cen MT"/>
        </w:rPr>
        <w:t xml:space="preserve">ELEMENTARY/MIDDLE MATHEMATICS </w:t>
      </w:r>
      <w:r w:rsidRPr="000E063D">
        <w:rPr>
          <w:rFonts w:ascii="Tw Cen MT" w:hAnsi="Tw Cen MT"/>
        </w:rPr>
        <w:t>Goal</w:t>
      </w:r>
    </w:p>
    <w:p w14:paraId="512CBFCC" w14:textId="4BB42BFD" w:rsidR="003F180F" w:rsidRPr="000E063D" w:rsidRDefault="003F180F" w:rsidP="003F180F">
      <w:pPr>
        <w:jc w:val="both"/>
        <w:rPr>
          <w:rFonts w:ascii="Tw Cen MT" w:hAnsi="Tw Cen MT"/>
        </w:rPr>
      </w:pPr>
      <w:r>
        <w:rPr>
          <w:rFonts w:ascii="Tw Cen MT" w:hAnsi="Tw Cen MT"/>
        </w:rPr>
        <w:t xml:space="preserve">Persistence Prep recognizes that we have significant work to do in increasing </w:t>
      </w:r>
      <w:r>
        <w:rPr>
          <w:rFonts w:ascii="Tw Cen MT" w:hAnsi="Tw Cen MT"/>
        </w:rPr>
        <w:t>Mathematics</w:t>
      </w:r>
      <w:r>
        <w:rPr>
          <w:rFonts w:ascii="Tw Cen MT" w:hAnsi="Tw Cen MT"/>
        </w:rPr>
        <w:t xml:space="preserve"> proficiency as measured by the NYS </w:t>
      </w:r>
      <w:r w:rsidR="005112D9">
        <w:rPr>
          <w:rFonts w:ascii="Tw Cen MT" w:hAnsi="Tw Cen MT"/>
        </w:rPr>
        <w:t>Math</w:t>
      </w:r>
      <w:r>
        <w:rPr>
          <w:rFonts w:ascii="Tw Cen MT" w:hAnsi="Tw Cen MT"/>
        </w:rPr>
        <w:t xml:space="preserve"> State Assessment, especially in </w:t>
      </w:r>
      <w:r w:rsidR="005112D9">
        <w:rPr>
          <w:rFonts w:ascii="Tw Cen MT" w:hAnsi="Tw Cen MT"/>
        </w:rPr>
        <w:t>extended response questions</w:t>
      </w:r>
      <w:r>
        <w:rPr>
          <w:rFonts w:ascii="Tw Cen MT" w:hAnsi="Tw Cen MT"/>
        </w:rPr>
        <w:t xml:space="preserve">.  Over our first four years of operation, we have made significant shifts in our </w:t>
      </w:r>
      <w:r w:rsidR="005112D9">
        <w:rPr>
          <w:rFonts w:ascii="Tw Cen MT" w:hAnsi="Tw Cen MT"/>
        </w:rPr>
        <w:t>Mathematics</w:t>
      </w:r>
      <w:r>
        <w:rPr>
          <w:rFonts w:ascii="Tw Cen MT" w:hAnsi="Tw Cen MT"/>
        </w:rPr>
        <w:t xml:space="preserve"> program and curricular materials that are positively impacting scholars beginning in </w:t>
      </w:r>
      <w:proofErr w:type="gramStart"/>
      <w:r>
        <w:rPr>
          <w:rFonts w:ascii="Tw Cen MT" w:hAnsi="Tw Cen MT"/>
        </w:rPr>
        <w:t>Kindergarten</w:t>
      </w:r>
      <w:proofErr w:type="gramEnd"/>
      <w:r>
        <w:rPr>
          <w:rFonts w:ascii="Tw Cen MT" w:hAnsi="Tw Cen MT"/>
        </w:rPr>
        <w:t xml:space="preserve">.  We anticipate a much stronger pipeline of scholars matriculating through our school in future </w:t>
      </w:r>
      <w:proofErr w:type="gramStart"/>
      <w:r>
        <w:rPr>
          <w:rFonts w:ascii="Tw Cen MT" w:hAnsi="Tw Cen MT"/>
        </w:rPr>
        <w:t>years, and</w:t>
      </w:r>
      <w:proofErr w:type="gramEnd"/>
      <w:r>
        <w:rPr>
          <w:rFonts w:ascii="Tw Cen MT" w:hAnsi="Tw Cen MT"/>
        </w:rPr>
        <w:t xml:space="preserve"> are using these high-quality instructional materials to close gaps for our scholars in upper grades</w:t>
      </w:r>
      <w:r w:rsidR="00AB35E7">
        <w:rPr>
          <w:rFonts w:ascii="Tw Cen MT" w:hAnsi="Tw Cen MT"/>
        </w:rPr>
        <w:t>, especially around building strong number sense</w:t>
      </w:r>
      <w:r>
        <w:rPr>
          <w:rFonts w:ascii="Tw Cen MT" w:hAnsi="Tw Cen MT"/>
        </w:rPr>
        <w:t xml:space="preserve">.  We will continue to leverage our acceleration block to close gaps and ensure scholars have the just-in-time supports to access grade level content.  More information on our planned actions is included in the Action Plan section below. </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CA302E" w:rsidRPr="000E063D" w14:paraId="01D0B6C5" w14:textId="77777777" w:rsidTr="003E2DCF">
        <w:trPr>
          <w:jc w:val="center"/>
        </w:trPr>
        <w:tc>
          <w:tcPr>
            <w:tcW w:w="1341" w:type="dxa"/>
            <w:shd w:val="clear" w:color="auto" w:fill="auto"/>
            <w:vAlign w:val="center"/>
          </w:tcPr>
          <w:p w14:paraId="25571610" w14:textId="77777777" w:rsidR="00CA302E" w:rsidRPr="000E063D" w:rsidRDefault="00CA302E" w:rsidP="003E2DCF">
            <w:pPr>
              <w:jc w:val="center"/>
              <w:rPr>
                <w:rFonts w:ascii="Tw Cen MT" w:hAnsi="Tw Cen MT"/>
                <w:b/>
                <w:color w:val="000000"/>
                <w:szCs w:val="23"/>
              </w:rPr>
            </w:pPr>
            <w:r w:rsidRPr="000E063D">
              <w:rPr>
                <w:rFonts w:ascii="Tw Cen MT" w:hAnsi="Tw Cen MT"/>
                <w:b/>
                <w:color w:val="000000"/>
                <w:szCs w:val="23"/>
              </w:rPr>
              <w:t>Type</w:t>
            </w:r>
          </w:p>
        </w:tc>
        <w:tc>
          <w:tcPr>
            <w:tcW w:w="6390" w:type="dxa"/>
            <w:shd w:val="clear" w:color="auto" w:fill="auto"/>
            <w:vAlign w:val="center"/>
          </w:tcPr>
          <w:p w14:paraId="18F625D4" w14:textId="77777777" w:rsidR="00CA302E" w:rsidRPr="000E063D" w:rsidRDefault="00CA302E" w:rsidP="003E2DCF">
            <w:pPr>
              <w:jc w:val="center"/>
              <w:rPr>
                <w:rFonts w:ascii="Tw Cen MT" w:hAnsi="Tw Cen MT"/>
                <w:b/>
                <w:color w:val="000000"/>
                <w:szCs w:val="23"/>
              </w:rPr>
            </w:pPr>
            <w:r w:rsidRPr="000E063D">
              <w:rPr>
                <w:rFonts w:ascii="Tw Cen MT" w:hAnsi="Tw Cen MT"/>
                <w:b/>
                <w:color w:val="000000"/>
                <w:szCs w:val="23"/>
              </w:rPr>
              <w:t>Measure</w:t>
            </w:r>
          </w:p>
        </w:tc>
        <w:tc>
          <w:tcPr>
            <w:tcW w:w="1611" w:type="dxa"/>
            <w:vAlign w:val="center"/>
          </w:tcPr>
          <w:p w14:paraId="3615EA77" w14:textId="77777777" w:rsidR="00CA302E" w:rsidRPr="000E063D" w:rsidRDefault="00CA302E" w:rsidP="003E2DCF">
            <w:pPr>
              <w:jc w:val="center"/>
              <w:rPr>
                <w:rFonts w:ascii="Tw Cen MT" w:hAnsi="Tw Cen MT"/>
                <w:b/>
                <w:color w:val="000000"/>
                <w:szCs w:val="23"/>
              </w:rPr>
            </w:pPr>
            <w:r w:rsidRPr="000E063D">
              <w:rPr>
                <w:rFonts w:ascii="Tw Cen MT" w:hAnsi="Tw Cen MT"/>
                <w:b/>
                <w:color w:val="000000"/>
                <w:szCs w:val="23"/>
              </w:rPr>
              <w:t>Outcome</w:t>
            </w:r>
          </w:p>
        </w:tc>
      </w:tr>
      <w:tr w:rsidR="00CA302E" w:rsidRPr="000E063D" w14:paraId="696584BB" w14:textId="77777777" w:rsidTr="003E2DCF">
        <w:trPr>
          <w:jc w:val="center"/>
        </w:trPr>
        <w:tc>
          <w:tcPr>
            <w:tcW w:w="1341" w:type="dxa"/>
            <w:shd w:val="clear" w:color="auto" w:fill="auto"/>
            <w:vAlign w:val="center"/>
          </w:tcPr>
          <w:p w14:paraId="3F004762" w14:textId="77777777" w:rsidR="00CA302E" w:rsidRPr="000E063D" w:rsidRDefault="00CA302E" w:rsidP="003E2DCF">
            <w:pPr>
              <w:pStyle w:val="TableText"/>
              <w:rPr>
                <w:rFonts w:ascii="Tw Cen MT" w:hAnsi="Tw Cen MT"/>
              </w:rPr>
            </w:pPr>
            <w:r w:rsidRPr="000E063D">
              <w:rPr>
                <w:rFonts w:ascii="Tw Cen MT" w:hAnsi="Tw Cen MT"/>
              </w:rPr>
              <w:t>Absolute</w:t>
            </w:r>
          </w:p>
        </w:tc>
        <w:tc>
          <w:tcPr>
            <w:tcW w:w="6390" w:type="dxa"/>
            <w:shd w:val="clear" w:color="auto" w:fill="auto"/>
            <w:vAlign w:val="center"/>
          </w:tcPr>
          <w:p w14:paraId="08BF4DB4" w14:textId="287A9829" w:rsidR="00CA302E" w:rsidRPr="000E063D" w:rsidRDefault="00CA302E" w:rsidP="003E2DCF">
            <w:pPr>
              <w:pStyle w:val="TableText"/>
              <w:jc w:val="left"/>
              <w:rPr>
                <w:rFonts w:ascii="Tw Cen MT" w:hAnsi="Tw Cen MT"/>
              </w:rPr>
            </w:pPr>
            <w:r w:rsidRPr="000E063D">
              <w:rPr>
                <w:rFonts w:ascii="Tw Cen MT" w:hAnsi="Tw Cen MT"/>
              </w:rPr>
              <w:t xml:space="preserve">Each year, 75 percent of all tested students who are enrolled in at least their second year will perform at proficiency on the New York State </w:t>
            </w:r>
            <w:r w:rsidR="00F20F9B" w:rsidRPr="000E063D">
              <w:rPr>
                <w:rFonts w:ascii="Tw Cen MT" w:hAnsi="Tw Cen MT"/>
              </w:rPr>
              <w:t xml:space="preserve">Mathematics </w:t>
            </w:r>
            <w:r w:rsidRPr="000E063D">
              <w:rPr>
                <w:rFonts w:ascii="Tw Cen MT" w:hAnsi="Tw Cen MT"/>
              </w:rPr>
              <w:t xml:space="preserve">exam for grades 3-8. </w:t>
            </w:r>
          </w:p>
        </w:tc>
        <w:tc>
          <w:tcPr>
            <w:tcW w:w="1611" w:type="dxa"/>
            <w:vAlign w:val="center"/>
          </w:tcPr>
          <w:p w14:paraId="2E14A75E" w14:textId="40C3A6D8" w:rsidR="00CA302E" w:rsidRPr="000E063D" w:rsidRDefault="00F02FB9" w:rsidP="003E2DCF">
            <w:pPr>
              <w:pStyle w:val="TableText"/>
              <w:rPr>
                <w:rFonts w:ascii="Tw Cen MT" w:hAnsi="Tw Cen MT"/>
              </w:rPr>
            </w:pPr>
            <w:r>
              <w:rPr>
                <w:rFonts w:ascii="Tw Cen MT" w:hAnsi="Tw Cen MT"/>
              </w:rPr>
              <w:t xml:space="preserve">Not met- </w:t>
            </w:r>
            <w:r w:rsidR="00316339">
              <w:rPr>
                <w:rFonts w:ascii="Tw Cen MT" w:hAnsi="Tw Cen MT"/>
              </w:rPr>
              <w:t>12% of scholars in at least their second year tested proficient</w:t>
            </w:r>
          </w:p>
        </w:tc>
      </w:tr>
      <w:tr w:rsidR="00CA302E" w:rsidRPr="000E063D" w14:paraId="7329C5A7" w14:textId="77777777" w:rsidTr="003E2DCF">
        <w:trPr>
          <w:jc w:val="center"/>
        </w:trPr>
        <w:tc>
          <w:tcPr>
            <w:tcW w:w="1341" w:type="dxa"/>
            <w:shd w:val="clear" w:color="auto" w:fill="auto"/>
            <w:vAlign w:val="center"/>
          </w:tcPr>
          <w:p w14:paraId="76A1F3FD" w14:textId="77777777" w:rsidR="00CA302E" w:rsidRPr="000E063D" w:rsidRDefault="00CA302E" w:rsidP="003E2DCF">
            <w:pPr>
              <w:pStyle w:val="TableText"/>
              <w:rPr>
                <w:rFonts w:ascii="Tw Cen MT" w:hAnsi="Tw Cen MT"/>
              </w:rPr>
            </w:pPr>
            <w:r w:rsidRPr="000E063D">
              <w:rPr>
                <w:rFonts w:ascii="Tw Cen MT" w:hAnsi="Tw Cen MT"/>
              </w:rPr>
              <w:t>Absolute</w:t>
            </w:r>
          </w:p>
        </w:tc>
        <w:tc>
          <w:tcPr>
            <w:tcW w:w="6390" w:type="dxa"/>
            <w:shd w:val="clear" w:color="auto" w:fill="auto"/>
            <w:vAlign w:val="center"/>
          </w:tcPr>
          <w:p w14:paraId="3E1A2CFE" w14:textId="6F8305BF" w:rsidR="00CA302E" w:rsidRPr="000E063D" w:rsidRDefault="00CA302E" w:rsidP="003E2DCF">
            <w:pPr>
              <w:pStyle w:val="TableText"/>
              <w:jc w:val="left"/>
              <w:rPr>
                <w:rFonts w:ascii="Tw Cen MT" w:hAnsi="Tw Cen MT"/>
              </w:rPr>
            </w:pPr>
            <w:r w:rsidRPr="000E063D">
              <w:rPr>
                <w:rFonts w:ascii="Tw Cen MT" w:hAnsi="Tw Cen MT"/>
              </w:rPr>
              <w:t xml:space="preserve">Each year, the school’s aggregate PI on the state’s </w:t>
            </w:r>
            <w:r w:rsidR="00F20F9B" w:rsidRPr="000E063D">
              <w:rPr>
                <w:rFonts w:ascii="Tw Cen MT" w:hAnsi="Tw Cen MT"/>
              </w:rPr>
              <w:t xml:space="preserve">mathematics </w:t>
            </w:r>
            <w:r w:rsidRPr="000E063D">
              <w:rPr>
                <w:rFonts w:ascii="Tw Cen MT" w:hAnsi="Tw Cen MT"/>
              </w:rPr>
              <w:t>exam will meet that year’s state MIP as set forth in the state’s ESSA accountability system.</w:t>
            </w:r>
          </w:p>
        </w:tc>
        <w:tc>
          <w:tcPr>
            <w:tcW w:w="1611" w:type="dxa"/>
            <w:vAlign w:val="center"/>
          </w:tcPr>
          <w:p w14:paraId="0D3CDE53" w14:textId="77777777" w:rsidR="00CA302E" w:rsidRPr="000E063D" w:rsidRDefault="00CA302E" w:rsidP="003E2DCF">
            <w:pPr>
              <w:pStyle w:val="TableText"/>
              <w:rPr>
                <w:rFonts w:ascii="Tw Cen MT" w:hAnsi="Tw Cen MT"/>
              </w:rPr>
            </w:pPr>
            <w:r w:rsidRPr="000E063D">
              <w:rPr>
                <w:rFonts w:ascii="Tw Cen MT" w:hAnsi="Tw Cen MT"/>
              </w:rPr>
              <w:t>N/A</w:t>
            </w:r>
          </w:p>
        </w:tc>
      </w:tr>
      <w:tr w:rsidR="00CA302E" w:rsidRPr="000E063D" w14:paraId="212B857A" w14:textId="77777777" w:rsidTr="003E2DCF">
        <w:trPr>
          <w:jc w:val="center"/>
        </w:trPr>
        <w:tc>
          <w:tcPr>
            <w:tcW w:w="1341" w:type="dxa"/>
            <w:shd w:val="clear" w:color="auto" w:fill="auto"/>
            <w:vAlign w:val="center"/>
          </w:tcPr>
          <w:p w14:paraId="24909E04" w14:textId="77777777" w:rsidR="00CA302E" w:rsidRPr="000E063D" w:rsidRDefault="00CA302E" w:rsidP="003E2DCF">
            <w:pPr>
              <w:pStyle w:val="TableText"/>
              <w:rPr>
                <w:rFonts w:ascii="Tw Cen MT" w:hAnsi="Tw Cen MT"/>
              </w:rPr>
            </w:pPr>
            <w:r w:rsidRPr="000E063D">
              <w:rPr>
                <w:rFonts w:ascii="Tw Cen MT" w:hAnsi="Tw Cen MT"/>
              </w:rPr>
              <w:t>Comparative</w:t>
            </w:r>
          </w:p>
        </w:tc>
        <w:tc>
          <w:tcPr>
            <w:tcW w:w="6390" w:type="dxa"/>
            <w:shd w:val="clear" w:color="auto" w:fill="auto"/>
            <w:vAlign w:val="center"/>
          </w:tcPr>
          <w:p w14:paraId="5B0ACD27" w14:textId="1C04F6DB" w:rsidR="00CA302E" w:rsidRPr="000E063D" w:rsidRDefault="00CA302E" w:rsidP="003E2DCF">
            <w:pPr>
              <w:pStyle w:val="TableText"/>
              <w:jc w:val="left"/>
              <w:rPr>
                <w:rFonts w:ascii="Tw Cen MT" w:hAnsi="Tw Cen MT"/>
              </w:rPr>
            </w:pPr>
            <w:r w:rsidRPr="000E063D">
              <w:rPr>
                <w:rFonts w:ascii="Tw Cen MT" w:hAnsi="Tw Cen MT"/>
              </w:rPr>
              <w:t>Each year, the percent of all tested students</w:t>
            </w:r>
            <w:r w:rsidRPr="000E063D">
              <w:rPr>
                <w:rFonts w:ascii="Tw Cen MT" w:hAnsi="Tw Cen MT"/>
                <w:b/>
              </w:rPr>
              <w:t xml:space="preserve"> </w:t>
            </w:r>
            <w:r w:rsidRPr="000E063D">
              <w:rPr>
                <w:rFonts w:ascii="Tw Cen MT" w:hAnsi="Tw Cen MT"/>
              </w:rPr>
              <w:t xml:space="preserve">who are enrolled in at least their second year and performing at proficiency on the state </w:t>
            </w:r>
            <w:r w:rsidR="00F20F9B" w:rsidRPr="000E063D">
              <w:rPr>
                <w:rFonts w:ascii="Tw Cen MT" w:hAnsi="Tw Cen MT"/>
              </w:rPr>
              <w:t xml:space="preserve">mathematics </w:t>
            </w:r>
            <w:r w:rsidRPr="000E063D">
              <w:rPr>
                <w:rFonts w:ascii="Tw Cen MT" w:hAnsi="Tw Cen MT"/>
              </w:rPr>
              <w:t xml:space="preserve">exam will be greater than that of students in the same tested grades in the school district of comparison. </w:t>
            </w:r>
          </w:p>
        </w:tc>
        <w:tc>
          <w:tcPr>
            <w:tcW w:w="1611" w:type="dxa"/>
            <w:vAlign w:val="center"/>
          </w:tcPr>
          <w:p w14:paraId="486D38DE" w14:textId="06F9EE7E" w:rsidR="00CA302E" w:rsidRPr="000E063D" w:rsidRDefault="00851516" w:rsidP="003E2DCF">
            <w:pPr>
              <w:pStyle w:val="TableText"/>
              <w:rPr>
                <w:rFonts w:ascii="Tw Cen MT" w:hAnsi="Tw Cen MT"/>
              </w:rPr>
            </w:pPr>
            <w:r>
              <w:rPr>
                <w:rFonts w:ascii="Tw Cen MT" w:hAnsi="Tw Cen MT"/>
              </w:rPr>
              <w:t>Data not yet available</w:t>
            </w:r>
          </w:p>
        </w:tc>
      </w:tr>
      <w:tr w:rsidR="00CA302E" w:rsidRPr="000E063D" w14:paraId="2544978D" w14:textId="77777777" w:rsidTr="003E2DCF">
        <w:trPr>
          <w:jc w:val="center"/>
        </w:trPr>
        <w:tc>
          <w:tcPr>
            <w:tcW w:w="1341" w:type="dxa"/>
            <w:shd w:val="clear" w:color="auto" w:fill="auto"/>
            <w:vAlign w:val="center"/>
          </w:tcPr>
          <w:p w14:paraId="1DAC5138" w14:textId="77777777" w:rsidR="00CA302E" w:rsidRPr="000E063D" w:rsidRDefault="00CA302E" w:rsidP="003E2DCF">
            <w:pPr>
              <w:pStyle w:val="TableText"/>
              <w:rPr>
                <w:rFonts w:ascii="Tw Cen MT" w:hAnsi="Tw Cen MT"/>
              </w:rPr>
            </w:pPr>
            <w:r w:rsidRPr="000E063D">
              <w:rPr>
                <w:rFonts w:ascii="Tw Cen MT" w:hAnsi="Tw Cen MT"/>
              </w:rPr>
              <w:t>Comparative</w:t>
            </w:r>
          </w:p>
        </w:tc>
        <w:tc>
          <w:tcPr>
            <w:tcW w:w="6390" w:type="dxa"/>
            <w:shd w:val="clear" w:color="auto" w:fill="auto"/>
            <w:vAlign w:val="center"/>
          </w:tcPr>
          <w:p w14:paraId="76B49826" w14:textId="377C99ED" w:rsidR="00CA302E" w:rsidRPr="000E063D" w:rsidRDefault="00CA302E" w:rsidP="003E2DCF">
            <w:pPr>
              <w:pStyle w:val="TableText"/>
              <w:jc w:val="left"/>
              <w:rPr>
                <w:rFonts w:ascii="Tw Cen MT" w:hAnsi="Tw Cen MT"/>
              </w:rPr>
            </w:pPr>
            <w:r w:rsidRPr="000E063D">
              <w:rPr>
                <w:rFonts w:ascii="Tw Cen MT" w:hAnsi="Tw Cen MT"/>
              </w:rPr>
              <w:t xml:space="preserve">Each year, the school will exceed its predicted level of performance on the state </w:t>
            </w:r>
            <w:r w:rsidR="00F20F9B" w:rsidRPr="000E063D">
              <w:rPr>
                <w:rFonts w:ascii="Tw Cen MT" w:hAnsi="Tw Cen MT"/>
              </w:rPr>
              <w:t xml:space="preserve">mathematics </w:t>
            </w:r>
            <w:r w:rsidRPr="000E063D">
              <w:rPr>
                <w:rFonts w:ascii="Tw Cen MT" w:hAnsi="Tw Cen MT"/>
              </w:rPr>
              <w:t xml:space="preserve">exam by an effect size of 0.3 or above (performing higher than expected to a meaningful degree) according to a regression analysis controlling for economically disadvantaged students among all public schools in New York State. </w:t>
            </w:r>
          </w:p>
        </w:tc>
        <w:tc>
          <w:tcPr>
            <w:tcW w:w="1611" w:type="dxa"/>
            <w:vAlign w:val="center"/>
          </w:tcPr>
          <w:p w14:paraId="093DDC99" w14:textId="77777777" w:rsidR="00CA302E" w:rsidRPr="000E063D" w:rsidRDefault="00CA302E" w:rsidP="003E2DCF">
            <w:pPr>
              <w:pStyle w:val="TableText"/>
              <w:rPr>
                <w:rFonts w:ascii="Tw Cen MT" w:hAnsi="Tw Cen MT"/>
              </w:rPr>
            </w:pPr>
            <w:r w:rsidRPr="000E063D">
              <w:rPr>
                <w:rFonts w:ascii="Tw Cen MT" w:hAnsi="Tw Cen MT"/>
              </w:rPr>
              <w:t>N/A</w:t>
            </w:r>
          </w:p>
        </w:tc>
      </w:tr>
      <w:tr w:rsidR="00CA302E" w:rsidRPr="000E063D" w14:paraId="5362489A" w14:textId="77777777" w:rsidTr="003E2DCF">
        <w:trPr>
          <w:jc w:val="center"/>
        </w:trPr>
        <w:tc>
          <w:tcPr>
            <w:tcW w:w="1341" w:type="dxa"/>
            <w:shd w:val="clear" w:color="auto" w:fill="auto"/>
            <w:vAlign w:val="center"/>
          </w:tcPr>
          <w:p w14:paraId="5376B804" w14:textId="77777777" w:rsidR="00CA302E" w:rsidRPr="000E063D" w:rsidRDefault="00CA302E" w:rsidP="003E2DCF">
            <w:pPr>
              <w:pStyle w:val="TableText"/>
              <w:rPr>
                <w:rFonts w:ascii="Tw Cen MT" w:hAnsi="Tw Cen MT"/>
              </w:rPr>
            </w:pPr>
            <w:r w:rsidRPr="000E063D">
              <w:rPr>
                <w:rFonts w:ascii="Tw Cen MT" w:hAnsi="Tw Cen MT"/>
              </w:rPr>
              <w:t>Growth</w:t>
            </w:r>
          </w:p>
        </w:tc>
        <w:tc>
          <w:tcPr>
            <w:tcW w:w="6390" w:type="dxa"/>
            <w:shd w:val="clear" w:color="auto" w:fill="auto"/>
            <w:vAlign w:val="center"/>
          </w:tcPr>
          <w:p w14:paraId="0C7E4959" w14:textId="257D491E" w:rsidR="00CA302E" w:rsidRPr="000E063D" w:rsidRDefault="00CA302E" w:rsidP="003E2DCF">
            <w:pPr>
              <w:pStyle w:val="TableText"/>
              <w:jc w:val="left"/>
              <w:rPr>
                <w:rFonts w:ascii="Tw Cen MT" w:hAnsi="Tw Cen MT"/>
                <w:color w:val="auto"/>
              </w:rPr>
            </w:pPr>
            <w:r w:rsidRPr="000E063D">
              <w:rPr>
                <w:rFonts w:ascii="Tw Cen MT" w:hAnsi="Tw Cen MT"/>
              </w:rPr>
              <w:t xml:space="preserve">Each year, under the state’s Growth Model the school’s mean unadjusted growth percentile in </w:t>
            </w:r>
            <w:r w:rsidR="00F20F9B" w:rsidRPr="000E063D">
              <w:rPr>
                <w:rFonts w:ascii="Tw Cen MT" w:hAnsi="Tw Cen MT"/>
              </w:rPr>
              <w:t xml:space="preserve">mathematics </w:t>
            </w:r>
            <w:r w:rsidRPr="000E063D">
              <w:rPr>
                <w:rFonts w:ascii="Tw Cen MT" w:hAnsi="Tw Cen MT"/>
              </w:rPr>
              <w:t xml:space="preserve">for all tested students in grades 4-8 will be above the target of 50. </w:t>
            </w:r>
          </w:p>
        </w:tc>
        <w:tc>
          <w:tcPr>
            <w:tcW w:w="1611" w:type="dxa"/>
            <w:vAlign w:val="center"/>
          </w:tcPr>
          <w:p w14:paraId="63D09147" w14:textId="77777777" w:rsidR="00CA302E" w:rsidRPr="000E063D" w:rsidRDefault="00CA302E" w:rsidP="003E2DCF">
            <w:pPr>
              <w:pStyle w:val="TableText"/>
              <w:rPr>
                <w:rFonts w:ascii="Tw Cen MT" w:hAnsi="Tw Cen MT"/>
              </w:rPr>
            </w:pPr>
            <w:r w:rsidRPr="000E063D">
              <w:rPr>
                <w:rFonts w:ascii="Tw Cen MT" w:hAnsi="Tw Cen MT"/>
              </w:rPr>
              <w:t>N/A</w:t>
            </w:r>
          </w:p>
        </w:tc>
      </w:tr>
    </w:tbl>
    <w:p w14:paraId="0EA472B8" w14:textId="77777777" w:rsidR="00AB35E7" w:rsidRDefault="00AB35E7" w:rsidP="00CA302E">
      <w:pPr>
        <w:pStyle w:val="Heading2"/>
        <w:rPr>
          <w:rFonts w:ascii="Tw Cen MT" w:hAnsi="Tw Cen MT"/>
        </w:rPr>
      </w:pPr>
    </w:p>
    <w:p w14:paraId="11579419" w14:textId="5A086200" w:rsidR="00CA302E" w:rsidRPr="000E063D" w:rsidRDefault="00CA302E" w:rsidP="00CA302E">
      <w:pPr>
        <w:pStyle w:val="Heading2"/>
        <w:rPr>
          <w:rFonts w:ascii="Tw Cen MT" w:hAnsi="Tw Cen MT"/>
        </w:rPr>
      </w:pPr>
      <w:r w:rsidRPr="000E063D">
        <w:rPr>
          <w:rFonts w:ascii="Tw Cen MT" w:hAnsi="Tw Cen MT"/>
        </w:rPr>
        <w:t>Action Plan</w:t>
      </w:r>
    </w:p>
    <w:p w14:paraId="61FAE2A1" w14:textId="1ED676E8" w:rsidR="00EF1F08" w:rsidRDefault="002D4659" w:rsidP="00B03ECC">
      <w:pPr>
        <w:jc w:val="both"/>
        <w:rPr>
          <w:rFonts w:ascii="Tw Cen MT" w:hAnsi="Tw Cen MT"/>
        </w:rPr>
      </w:pPr>
      <w:r>
        <w:rPr>
          <w:rFonts w:ascii="Tw Cen MT" w:hAnsi="Tw Cen MT"/>
        </w:rPr>
        <w:t>Stronger math instruction where the heavy cognitive load is on scholars is one major focus area of 2022-2023 training.  We have partnered with TNTP</w:t>
      </w:r>
      <w:r w:rsidR="007D4D8B">
        <w:rPr>
          <w:rFonts w:ascii="Tw Cen MT" w:hAnsi="Tw Cen MT"/>
        </w:rPr>
        <w:t xml:space="preserve"> for a round of Good to Great training that is centered around </w:t>
      </w:r>
      <w:r w:rsidR="00F11135">
        <w:rPr>
          <w:rFonts w:ascii="Tw Cen MT" w:hAnsi="Tw Cen MT"/>
        </w:rPr>
        <w:t xml:space="preserve">The Five Practices in Practice: Successfully Orchestrating </w:t>
      </w:r>
      <w:r w:rsidR="00280A26">
        <w:rPr>
          <w:rFonts w:ascii="Tw Cen MT" w:hAnsi="Tw Cen MT"/>
        </w:rPr>
        <w:t xml:space="preserve">Mathematics Discussions in Your Elementary Classroom.  This training will include a summer launch and overview, dedicated teaching weeks where teachers will work with coaches each afternoon to plan instruction and analyze scholar work, and ongoing observations throughout the year. </w:t>
      </w:r>
    </w:p>
    <w:p w14:paraId="249C60D9" w14:textId="1E3C3203" w:rsidR="00280A26" w:rsidRDefault="00280A26" w:rsidP="00B03ECC">
      <w:pPr>
        <w:jc w:val="both"/>
        <w:rPr>
          <w:rFonts w:ascii="Tw Cen MT" w:hAnsi="Tw Cen MT"/>
        </w:rPr>
      </w:pPr>
    </w:p>
    <w:p w14:paraId="7C3F9401" w14:textId="082EF263" w:rsidR="00657B15" w:rsidRDefault="00280A26" w:rsidP="00B03ECC">
      <w:pPr>
        <w:jc w:val="both"/>
        <w:rPr>
          <w:rFonts w:ascii="Tw Cen MT" w:hAnsi="Tw Cen MT"/>
        </w:rPr>
      </w:pPr>
      <w:r>
        <w:rPr>
          <w:rFonts w:ascii="Tw Cen MT" w:hAnsi="Tw Cen MT"/>
        </w:rPr>
        <w:t xml:space="preserve">We also have made a shift to the </w:t>
      </w:r>
      <w:proofErr w:type="spellStart"/>
      <w:r>
        <w:rPr>
          <w:rFonts w:ascii="Tw Cen MT" w:hAnsi="Tw Cen MT"/>
        </w:rPr>
        <w:t>EngageNY</w:t>
      </w:r>
      <w:proofErr w:type="spellEnd"/>
      <w:r>
        <w:rPr>
          <w:rFonts w:ascii="Tw Cen MT" w:hAnsi="Tw Cen MT"/>
        </w:rPr>
        <w:t xml:space="preserve"> modules/ </w:t>
      </w:r>
      <w:proofErr w:type="spellStart"/>
      <w:r>
        <w:rPr>
          <w:rFonts w:ascii="Tw Cen MT" w:hAnsi="Tw Cen MT"/>
        </w:rPr>
        <w:t>Zearn</w:t>
      </w:r>
      <w:proofErr w:type="spellEnd"/>
      <w:r>
        <w:rPr>
          <w:rFonts w:ascii="Tw Cen MT" w:hAnsi="Tw Cen MT"/>
        </w:rPr>
        <w:t xml:space="preserve"> (Eureka) for all grade levels.  We believe that this vertical alignment will greatly improve math results and allow scholars to </w:t>
      </w:r>
      <w:r w:rsidR="00AF075A">
        <w:rPr>
          <w:rFonts w:ascii="Tw Cen MT" w:hAnsi="Tw Cen MT"/>
        </w:rPr>
        <w:t>matriculate from grade to grade more seamlessly</w:t>
      </w:r>
      <w:r w:rsidR="00240323">
        <w:rPr>
          <w:rFonts w:ascii="Tw Cen MT" w:hAnsi="Tw Cen MT"/>
        </w:rPr>
        <w:t>.  We have also written high-quality, standards-aligned interim assessments in grades K-5</w:t>
      </w:r>
      <w:r w:rsidR="00AF1083">
        <w:rPr>
          <w:rFonts w:ascii="Tw Cen MT" w:hAnsi="Tw Cen MT"/>
        </w:rPr>
        <w:t xml:space="preserve"> that will be administered and analyzed </w:t>
      </w:r>
      <w:r w:rsidR="00AF075A">
        <w:rPr>
          <w:rFonts w:ascii="Tw Cen MT" w:hAnsi="Tw Cen MT"/>
        </w:rPr>
        <w:t xml:space="preserve">four times throughout the year. </w:t>
      </w:r>
      <w:r w:rsidR="00882337">
        <w:rPr>
          <w:rFonts w:ascii="Tw Cen MT" w:hAnsi="Tw Cen MT"/>
        </w:rPr>
        <w:t xml:space="preserve"> This analysis will provide us with more consistent data to inform our instruction and make </w:t>
      </w:r>
      <w:r w:rsidR="00B03ECC">
        <w:rPr>
          <w:rFonts w:ascii="Tw Cen MT" w:hAnsi="Tw Cen MT"/>
        </w:rPr>
        <w:t xml:space="preserve">shifts as necessary. </w:t>
      </w:r>
    </w:p>
    <w:p w14:paraId="0C1571B9" w14:textId="2DB86AB3" w:rsidR="00D65412" w:rsidRDefault="00D65412" w:rsidP="00B03ECC">
      <w:pPr>
        <w:jc w:val="both"/>
        <w:rPr>
          <w:rFonts w:ascii="Tw Cen MT" w:hAnsi="Tw Cen MT"/>
        </w:rPr>
      </w:pPr>
    </w:p>
    <w:p w14:paraId="5067B4AB" w14:textId="77777777" w:rsidR="00E5271D" w:rsidRDefault="00D65412" w:rsidP="00B03ECC">
      <w:pPr>
        <w:jc w:val="both"/>
        <w:rPr>
          <w:rFonts w:ascii="Tw Cen MT" w:hAnsi="Tw Cen MT"/>
        </w:rPr>
        <w:sectPr w:rsidR="00E5271D" w:rsidSect="00BC64E6">
          <w:pgSz w:w="12240" w:h="15840" w:code="1"/>
          <w:pgMar w:top="1440" w:right="1440" w:bottom="1440" w:left="1440" w:header="720" w:footer="720" w:gutter="0"/>
          <w:pgNumType w:start="1"/>
          <w:cols w:space="720"/>
          <w:docGrid w:linePitch="313"/>
        </w:sectPr>
      </w:pPr>
      <w:r>
        <w:rPr>
          <w:rFonts w:ascii="Tw Cen MT" w:hAnsi="Tw Cen MT"/>
        </w:rPr>
        <w:t xml:space="preserve">Based on the strong growth we are observing on the NWEA MAP assessment, we believe that our instructional practices are closing demonstrated scholar gaps and moving scholars closer to proficiency.  </w:t>
      </w:r>
      <w:r w:rsidR="002F58A0">
        <w:rPr>
          <w:rFonts w:ascii="Tw Cen MT" w:hAnsi="Tw Cen MT"/>
        </w:rPr>
        <w:t xml:space="preserve">We recognize that recovery from unfinished learning from COVID-19 will be a multi-year process and anticipate being able to sustain </w:t>
      </w:r>
      <w:r w:rsidR="003B35CE">
        <w:rPr>
          <w:rFonts w:ascii="Tw Cen MT" w:hAnsi="Tw Cen MT"/>
        </w:rPr>
        <w:t xml:space="preserve">strong levels of academic growth in the years ahead. </w:t>
      </w:r>
    </w:p>
    <w:p w14:paraId="16E21A1D" w14:textId="283747A4" w:rsidR="00D65412" w:rsidRPr="000E063D" w:rsidRDefault="00D65412" w:rsidP="00B03ECC">
      <w:pPr>
        <w:jc w:val="both"/>
        <w:rPr>
          <w:rFonts w:ascii="Tw Cen MT" w:hAnsi="Tw Cen MT"/>
        </w:rPr>
      </w:pPr>
    </w:p>
    <w:p w14:paraId="3C67FAA6" w14:textId="1B6CD929" w:rsidR="00056BFE" w:rsidRPr="000E063D" w:rsidRDefault="00EB48F9" w:rsidP="00056BFE">
      <w:pPr>
        <w:pStyle w:val="Heading1"/>
        <w:rPr>
          <w:rFonts w:ascii="Tw Cen MT" w:hAnsi="Tw Cen MT"/>
        </w:rPr>
      </w:pPr>
      <w:r w:rsidRPr="000E063D">
        <w:rPr>
          <w:rFonts w:ascii="Tw Cen MT" w:hAnsi="Tw Cen MT"/>
        </w:rPr>
        <w:t xml:space="preserve">GOAL </w:t>
      </w:r>
      <w:r w:rsidR="00721CCA" w:rsidRPr="000E063D">
        <w:rPr>
          <w:rFonts w:ascii="Tw Cen MT" w:hAnsi="Tw Cen MT"/>
        </w:rPr>
        <w:t>3</w:t>
      </w:r>
      <w:r w:rsidRPr="000E063D">
        <w:rPr>
          <w:rFonts w:ascii="Tw Cen MT" w:hAnsi="Tw Cen MT"/>
        </w:rPr>
        <w:t xml:space="preserve">: </w:t>
      </w:r>
      <w:r w:rsidR="00D93F35" w:rsidRPr="000E063D">
        <w:rPr>
          <w:rFonts w:ascii="Tw Cen MT" w:hAnsi="Tw Cen MT"/>
        </w:rPr>
        <w:t>SCIENCE</w:t>
      </w:r>
      <w:r w:rsidR="00017C0D" w:rsidRPr="000E063D">
        <w:rPr>
          <w:rFonts w:ascii="Tw Cen MT" w:hAnsi="Tw Cen MT"/>
        </w:rPr>
        <w:t xml:space="preserve"> </w:t>
      </w:r>
      <w:bookmarkEnd w:id="4"/>
    </w:p>
    <w:p w14:paraId="2555DDD4" w14:textId="0D3832F0" w:rsidR="005F2596" w:rsidRPr="000E063D" w:rsidRDefault="005F2596" w:rsidP="005F2596">
      <w:pPr>
        <w:pStyle w:val="GoalTitle"/>
        <w:rPr>
          <w:rFonts w:ascii="Tw Cen MT" w:hAnsi="Tw Cen MT"/>
        </w:rPr>
      </w:pPr>
      <w:r w:rsidRPr="000E063D">
        <w:rPr>
          <w:rFonts w:ascii="Tw Cen MT" w:hAnsi="Tw Cen MT"/>
        </w:rPr>
        <w:t xml:space="preserve">Goal </w:t>
      </w:r>
      <w:r w:rsidR="00721CCA" w:rsidRPr="000E063D">
        <w:rPr>
          <w:rFonts w:ascii="Tw Cen MT" w:hAnsi="Tw Cen MT"/>
        </w:rPr>
        <w:t>3</w:t>
      </w:r>
      <w:r w:rsidRPr="000E063D">
        <w:rPr>
          <w:rFonts w:ascii="Tw Cen MT" w:hAnsi="Tw Cen MT"/>
        </w:rPr>
        <w:t>: Science</w:t>
      </w:r>
    </w:p>
    <w:p w14:paraId="361334D2" w14:textId="77777777" w:rsidR="003A4437" w:rsidRPr="00F459E6" w:rsidRDefault="003A4437" w:rsidP="003A4437">
      <w:pPr>
        <w:spacing w:after="0"/>
        <w:rPr>
          <w:rFonts w:ascii="Tw Cen MT" w:hAnsi="Tw Cen MT" w:cstheme="minorHAnsi"/>
          <w:b/>
        </w:rPr>
      </w:pPr>
      <w:r w:rsidRPr="00F459E6">
        <w:rPr>
          <w:rFonts w:ascii="Tw Cen MT" w:hAnsi="Tw Cen MT" w:cstheme="minorHAnsi"/>
          <w:b/>
        </w:rPr>
        <w:t xml:space="preserve">Students will be proficient in </w:t>
      </w:r>
      <w:proofErr w:type="gramStart"/>
      <w:r w:rsidRPr="00F459E6">
        <w:rPr>
          <w:rFonts w:ascii="Tw Cen MT" w:hAnsi="Tw Cen MT" w:cstheme="minorHAnsi"/>
          <w:b/>
        </w:rPr>
        <w:t>Science</w:t>
      </w:r>
      <w:proofErr w:type="gramEnd"/>
      <w:r w:rsidRPr="00F459E6">
        <w:rPr>
          <w:rFonts w:ascii="Tw Cen MT" w:hAnsi="Tw Cen MT" w:cstheme="minorHAnsi"/>
          <w:b/>
        </w:rPr>
        <w:t xml:space="preserve">. </w:t>
      </w:r>
    </w:p>
    <w:p w14:paraId="2CFB2151" w14:textId="77777777" w:rsidR="005F2596" w:rsidRPr="000E063D" w:rsidRDefault="005F2596" w:rsidP="005F2596">
      <w:pPr>
        <w:pStyle w:val="Heading2"/>
        <w:rPr>
          <w:rFonts w:ascii="Tw Cen MT" w:hAnsi="Tw Cen MT"/>
        </w:rPr>
      </w:pPr>
      <w:r w:rsidRPr="000E063D">
        <w:rPr>
          <w:rFonts w:ascii="Tw Cen MT" w:hAnsi="Tw Cen MT"/>
        </w:rPr>
        <w:t>Background</w:t>
      </w:r>
    </w:p>
    <w:p w14:paraId="7CED1AC8" w14:textId="2454FAEA" w:rsidR="005F2596" w:rsidRPr="005F4912" w:rsidRDefault="00EF4EB1" w:rsidP="005F2596">
      <w:pPr>
        <w:rPr>
          <w:rFonts w:ascii="Tw Cen MT" w:hAnsi="Tw Cen MT"/>
        </w:rPr>
      </w:pPr>
      <w:r w:rsidRPr="005F4912">
        <w:rPr>
          <w:rFonts w:ascii="Tw Cen MT" w:hAnsi="Tw Cen MT"/>
        </w:rPr>
        <w:t xml:space="preserve">Persistence Prep utilized the Amplify Science curriculum to support our </w:t>
      </w:r>
      <w:proofErr w:type="gramStart"/>
      <w:r w:rsidRPr="005F4912">
        <w:rPr>
          <w:rFonts w:ascii="Tw Cen MT" w:hAnsi="Tw Cen MT"/>
        </w:rPr>
        <w:t>Science</w:t>
      </w:r>
      <w:proofErr w:type="gramEnd"/>
      <w:r w:rsidRPr="005F4912">
        <w:rPr>
          <w:rFonts w:ascii="Tw Cen MT" w:hAnsi="Tw Cen MT"/>
        </w:rPr>
        <w:t xml:space="preserve"> instruction in 2021-2022.  We hired a dedicated Science teacher who worked with 3</w:t>
      </w:r>
      <w:r w:rsidRPr="005F4912">
        <w:rPr>
          <w:rFonts w:ascii="Tw Cen MT" w:hAnsi="Tw Cen MT"/>
          <w:vertAlign w:val="superscript"/>
        </w:rPr>
        <w:t>rd</w:t>
      </w:r>
      <w:r w:rsidRPr="005F4912">
        <w:rPr>
          <w:rFonts w:ascii="Tw Cen MT" w:hAnsi="Tw Cen MT"/>
        </w:rPr>
        <w:t xml:space="preserve"> and 4</w:t>
      </w:r>
      <w:r w:rsidRPr="005F4912">
        <w:rPr>
          <w:rFonts w:ascii="Tw Cen MT" w:hAnsi="Tw Cen MT"/>
          <w:vertAlign w:val="superscript"/>
        </w:rPr>
        <w:t>th</w:t>
      </w:r>
      <w:r w:rsidRPr="005F4912">
        <w:rPr>
          <w:rFonts w:ascii="Tw Cen MT" w:hAnsi="Tw Cen MT"/>
        </w:rPr>
        <w:t xml:space="preserve"> grade scholars </w:t>
      </w:r>
      <w:r w:rsidR="005F4912" w:rsidRPr="005F4912">
        <w:rPr>
          <w:rFonts w:ascii="Tw Cen MT" w:hAnsi="Tw Cen MT"/>
        </w:rPr>
        <w:t>daily and</w:t>
      </w:r>
      <w:r w:rsidRPr="005F4912">
        <w:rPr>
          <w:rFonts w:ascii="Tw Cen MT" w:hAnsi="Tw Cen MT"/>
        </w:rPr>
        <w:t xml:space="preserve"> pushed into K-2 classes weekly for STEAM </w:t>
      </w:r>
      <w:r w:rsidR="005F4912" w:rsidRPr="005F4912">
        <w:rPr>
          <w:rFonts w:ascii="Tw Cen MT" w:hAnsi="Tw Cen MT"/>
        </w:rPr>
        <w:t xml:space="preserve">instruction.  Scholars also experienced Science integration across other content areas. </w:t>
      </w:r>
    </w:p>
    <w:p w14:paraId="3CB978A5" w14:textId="577DFBA4" w:rsidR="002E28F6" w:rsidRPr="000E063D" w:rsidRDefault="002E28F6" w:rsidP="002E28F6">
      <w:pPr>
        <w:pStyle w:val="Heading2"/>
        <w:rPr>
          <w:rFonts w:ascii="Tw Cen MT" w:hAnsi="Tw Cen MT"/>
        </w:rPr>
      </w:pPr>
      <w:r w:rsidRPr="000E063D">
        <w:rPr>
          <w:rFonts w:ascii="Tw Cen MT" w:hAnsi="Tw Cen MT"/>
        </w:rPr>
        <w:t>Elementary AND MIDDLE Science</w:t>
      </w:r>
    </w:p>
    <w:p w14:paraId="448A20E3" w14:textId="77777777" w:rsidR="005F02B9" w:rsidRPr="000E063D" w:rsidRDefault="005F02B9" w:rsidP="005F02B9">
      <w:pPr>
        <w:rPr>
          <w:rFonts w:ascii="Tw Cen MT" w:hAnsi="Tw Cen MT"/>
        </w:rPr>
      </w:pPr>
    </w:p>
    <w:p w14:paraId="021C893D" w14:textId="517664EC" w:rsidR="005F02B9" w:rsidRPr="000E063D" w:rsidRDefault="005F02B9" w:rsidP="005F02B9">
      <w:pPr>
        <w:pStyle w:val="MeasureTitle"/>
        <w:rPr>
          <w:rFonts w:ascii="Tw Cen MT" w:hAnsi="Tw Cen MT"/>
        </w:rPr>
      </w:pPr>
      <w:r w:rsidRPr="000E063D">
        <w:rPr>
          <w:rFonts w:ascii="Tw Cen MT" w:hAnsi="Tw Cen MT"/>
        </w:rPr>
        <w:t xml:space="preserve">Goal </w:t>
      </w:r>
      <w:r w:rsidR="00721CCA" w:rsidRPr="000E063D">
        <w:rPr>
          <w:rFonts w:ascii="Tw Cen MT" w:hAnsi="Tw Cen MT"/>
        </w:rPr>
        <w:t>3</w:t>
      </w:r>
      <w:r w:rsidRPr="000E063D">
        <w:rPr>
          <w:rFonts w:ascii="Tw Cen MT" w:hAnsi="Tw Cen MT"/>
        </w:rPr>
        <w:t>: Absolute Measure</w:t>
      </w:r>
    </w:p>
    <w:p w14:paraId="1BC9991E" w14:textId="77777777" w:rsidR="005F02B9" w:rsidRPr="000E063D" w:rsidRDefault="005F02B9" w:rsidP="005F02B9">
      <w:pPr>
        <w:pStyle w:val="MeasureText"/>
        <w:rPr>
          <w:rFonts w:ascii="Tw Cen MT" w:hAnsi="Tw Cen MT"/>
          <w:i/>
        </w:rPr>
      </w:pPr>
      <w:r w:rsidRPr="000E063D">
        <w:rPr>
          <w:rFonts w:ascii="Tw Cen MT" w:hAnsi="Tw Cen MT"/>
        </w:rPr>
        <w:t>Each year, 75 percent of all tested students enrolled in at least their second year will perform at or above proficiency on the New York State science examination.</w:t>
      </w:r>
    </w:p>
    <w:p w14:paraId="2003D0F8" w14:textId="77777777" w:rsidR="005F02B9" w:rsidRPr="000E063D" w:rsidRDefault="005F02B9" w:rsidP="005F02B9">
      <w:pPr>
        <w:pStyle w:val="Heading2"/>
        <w:rPr>
          <w:rFonts w:ascii="Tw Cen MT" w:hAnsi="Tw Cen MT"/>
        </w:rPr>
      </w:pPr>
      <w:r w:rsidRPr="000E063D">
        <w:rPr>
          <w:rFonts w:ascii="Tw Cen MT" w:hAnsi="Tw Cen MT"/>
        </w:rPr>
        <w:t>Method</w:t>
      </w:r>
    </w:p>
    <w:p w14:paraId="4D7485FF" w14:textId="4EBF4298" w:rsidR="005F02B9" w:rsidRPr="000E063D" w:rsidRDefault="005F02B9" w:rsidP="005F02B9">
      <w:pPr>
        <w:rPr>
          <w:rFonts w:ascii="Tw Cen MT" w:hAnsi="Tw Cen MT"/>
        </w:rPr>
      </w:pPr>
      <w:r w:rsidRPr="000E063D">
        <w:rPr>
          <w:rFonts w:ascii="Tw Cen MT" w:hAnsi="Tw Cen MT"/>
        </w:rPr>
        <w:t xml:space="preserve">The school administered the New </w:t>
      </w:r>
      <w:r w:rsidRPr="00D077C1">
        <w:rPr>
          <w:rFonts w:ascii="Tw Cen MT" w:hAnsi="Tw Cen MT"/>
        </w:rPr>
        <w:t>York State Testing Program science assessment to students in 4</w:t>
      </w:r>
      <w:r w:rsidRPr="00D077C1">
        <w:rPr>
          <w:rFonts w:ascii="Tw Cen MT" w:hAnsi="Tw Cen MT"/>
          <w:vertAlign w:val="superscript"/>
        </w:rPr>
        <w:t>th</w:t>
      </w:r>
      <w:r w:rsidRPr="00D077C1">
        <w:rPr>
          <w:rFonts w:ascii="Tw Cen MT" w:hAnsi="Tw Cen MT"/>
        </w:rPr>
        <w:t xml:space="preserve"> grade in spring 2022.</w:t>
      </w:r>
      <w:r w:rsidRPr="000E063D">
        <w:rPr>
          <w:rFonts w:ascii="Tw Cen MT" w:hAnsi="Tw Cen MT"/>
        </w:rPr>
        <w:t xml:space="preserve">  The school converted each student’s raw score to a performance level and a grade-specific scaled score.  The criterion for success on this measure requires students enrolled in at least their second year to score at proficiency.  </w:t>
      </w:r>
    </w:p>
    <w:p w14:paraId="0A45618E" w14:textId="77777777" w:rsidR="005F02B9" w:rsidRPr="000E063D" w:rsidRDefault="005F02B9" w:rsidP="005F02B9">
      <w:pPr>
        <w:pStyle w:val="Heading2"/>
        <w:rPr>
          <w:rFonts w:ascii="Tw Cen MT" w:hAnsi="Tw Cen MT"/>
        </w:rPr>
      </w:pPr>
      <w:r w:rsidRPr="000E063D">
        <w:rPr>
          <w:rFonts w:ascii="Tw Cen MT" w:hAnsi="Tw Cen MT"/>
        </w:rPr>
        <w:t>Results and evaluation</w:t>
      </w:r>
    </w:p>
    <w:p w14:paraId="22BC36DD" w14:textId="401E9B34" w:rsidR="005F02B9" w:rsidRPr="000E063D" w:rsidRDefault="005F4912" w:rsidP="005F02B9">
      <w:pPr>
        <w:rPr>
          <w:rFonts w:ascii="Tw Cen MT" w:hAnsi="Tw Cen MT"/>
        </w:rPr>
      </w:pPr>
      <w:r>
        <w:rPr>
          <w:rFonts w:ascii="Tw Cen MT" w:hAnsi="Tw Cen MT"/>
        </w:rPr>
        <w:t xml:space="preserve">Persistence Prep did not meet its </w:t>
      </w:r>
      <w:r w:rsidR="00133687">
        <w:rPr>
          <w:rFonts w:ascii="Tw Cen MT" w:hAnsi="Tw Cen MT"/>
        </w:rPr>
        <w:t xml:space="preserve">absolute measure goal in </w:t>
      </w:r>
      <w:proofErr w:type="gramStart"/>
      <w:r w:rsidR="00133687">
        <w:rPr>
          <w:rFonts w:ascii="Tw Cen MT" w:hAnsi="Tw Cen MT"/>
        </w:rPr>
        <w:t>Science</w:t>
      </w:r>
      <w:proofErr w:type="gramEnd"/>
      <w:r w:rsidR="00133687">
        <w:rPr>
          <w:rFonts w:ascii="Tw Cen MT" w:hAnsi="Tw Cen MT"/>
        </w:rPr>
        <w:t xml:space="preserve"> for the 2021-2022 school year.  In our first year of administering the Science exam, 34% of scholars in at least their second year </w:t>
      </w:r>
      <w:r w:rsidR="00C82106">
        <w:rPr>
          <w:rFonts w:ascii="Tw Cen MT" w:hAnsi="Tw Cen MT"/>
        </w:rPr>
        <w:t xml:space="preserve">tested proficient on the exam. </w:t>
      </w:r>
      <w:r w:rsidR="004D5C7F">
        <w:rPr>
          <w:rFonts w:ascii="Tw Cen MT" w:hAnsi="Tw Cen MT"/>
        </w:rPr>
        <w:t xml:space="preserve"> An additional 42%</w:t>
      </w:r>
      <w:r w:rsidR="00F75E95">
        <w:rPr>
          <w:rFonts w:ascii="Tw Cen MT" w:hAnsi="Tw Cen MT"/>
        </w:rPr>
        <w:t xml:space="preserve"> of scholars tested at a level 2 and we are confident that another year of consistent Science instruction will be able to elevate this group of scholars to proficiency. </w:t>
      </w:r>
    </w:p>
    <w:p w14:paraId="2991918E" w14:textId="77777777" w:rsidR="005F02B9" w:rsidRPr="000E063D" w:rsidRDefault="005F02B9" w:rsidP="005F02B9">
      <w:pPr>
        <w:rPr>
          <w:rFonts w:ascii="Tw Cen MT" w:hAnsi="Tw Cen MT"/>
        </w:rPr>
      </w:pPr>
    </w:p>
    <w:p w14:paraId="5089C32F" w14:textId="6E49383D" w:rsidR="005F02B9" w:rsidRPr="000E063D" w:rsidRDefault="005F02B9" w:rsidP="005F02B9">
      <w:pPr>
        <w:pStyle w:val="TableHeader"/>
        <w:rPr>
          <w:rFonts w:ascii="Tw Cen MT" w:hAnsi="Tw Cen MT"/>
        </w:rPr>
      </w:pPr>
      <w:r w:rsidRPr="000E063D">
        <w:rPr>
          <w:rFonts w:ascii="Tw Cen MT" w:hAnsi="Tw Cen MT"/>
        </w:rPr>
        <w:t>Charter School Performance on 2021-22 State Science Exam</w:t>
      </w:r>
    </w:p>
    <w:p w14:paraId="5011D0AB" w14:textId="77777777" w:rsidR="005F02B9" w:rsidRPr="000E063D" w:rsidRDefault="005F02B9" w:rsidP="005F02B9">
      <w:pPr>
        <w:pStyle w:val="TableHeader"/>
        <w:rPr>
          <w:rFonts w:ascii="Tw Cen MT" w:hAnsi="Tw Cen MT"/>
        </w:rPr>
      </w:pPr>
      <w:r w:rsidRPr="000E063D">
        <w:rPr>
          <w:rFonts w:ascii="Tw Cen MT" w:hAnsi="Tw Cen MT"/>
        </w:rPr>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82"/>
        <w:gridCol w:w="2442"/>
      </w:tblGrid>
      <w:tr w:rsidR="005F02B9" w:rsidRPr="000E063D" w14:paraId="2CC57F57" w14:textId="77777777" w:rsidTr="003E2DCF">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14:paraId="567F0DDB" w14:textId="77777777" w:rsidR="005F02B9" w:rsidRPr="000E063D" w:rsidRDefault="005F02B9" w:rsidP="003E2DCF">
            <w:pPr>
              <w:pStyle w:val="TableText"/>
              <w:rPr>
                <w:rFonts w:ascii="Tw Cen MT" w:hAnsi="Tw Cen MT"/>
              </w:rPr>
            </w:pPr>
            <w:r w:rsidRPr="000E063D">
              <w:rPr>
                <w:rFonts w:ascii="Tw Cen MT" w:hAnsi="Tw Cen MT"/>
              </w:rPr>
              <w:t>Grade</w:t>
            </w:r>
          </w:p>
        </w:tc>
        <w:tc>
          <w:tcPr>
            <w:tcW w:w="4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36D50" w14:textId="77777777" w:rsidR="005F02B9" w:rsidRPr="000E063D" w:rsidRDefault="005F02B9" w:rsidP="003E2DCF">
            <w:pPr>
              <w:pStyle w:val="TableText"/>
              <w:rPr>
                <w:rFonts w:ascii="Tw Cen MT" w:hAnsi="Tw Cen MT"/>
              </w:rPr>
            </w:pPr>
            <w:r w:rsidRPr="000E063D">
              <w:rPr>
                <w:rFonts w:ascii="Tw Cen MT" w:hAnsi="Tw Cen MT"/>
              </w:rPr>
              <w:t>Percent of Students at Proficiency of Students in At Least 2</w:t>
            </w:r>
            <w:r w:rsidRPr="000E063D">
              <w:rPr>
                <w:rFonts w:ascii="Tw Cen MT" w:hAnsi="Tw Cen MT"/>
                <w:vertAlign w:val="superscript"/>
              </w:rPr>
              <w:t>nd</w:t>
            </w:r>
            <w:r w:rsidRPr="000E063D">
              <w:rPr>
                <w:rFonts w:ascii="Tw Cen MT" w:hAnsi="Tw Cen MT"/>
              </w:rPr>
              <w:t xml:space="preserve"> Year</w:t>
            </w:r>
          </w:p>
        </w:tc>
      </w:tr>
      <w:tr w:rsidR="005F02B9" w:rsidRPr="000E063D" w14:paraId="0B57E974" w14:textId="77777777" w:rsidTr="003E2DCF">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14:paraId="2FB2E7F3" w14:textId="77777777" w:rsidR="005F02B9" w:rsidRPr="000E063D" w:rsidRDefault="005F02B9" w:rsidP="003E2DCF">
            <w:pPr>
              <w:pStyle w:val="TableText"/>
              <w:rPr>
                <w:rFonts w:ascii="Tw Cen MT" w:hAnsi="Tw Cen MT"/>
              </w:rPr>
            </w:pP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7D7929B8" w14:textId="77777777" w:rsidR="005F02B9" w:rsidRPr="000E063D" w:rsidRDefault="005F02B9" w:rsidP="003E2DCF">
            <w:pPr>
              <w:pStyle w:val="TableText"/>
              <w:rPr>
                <w:rFonts w:ascii="Tw Cen MT" w:hAnsi="Tw Cen MT"/>
              </w:rPr>
            </w:pPr>
            <w:r w:rsidRPr="000E063D">
              <w:rPr>
                <w:rFonts w:ascii="Tw Cen MT" w:hAnsi="Tw Cen MT"/>
              </w:rPr>
              <w:t>Percent Proficient</w:t>
            </w:r>
          </w:p>
        </w:tc>
        <w:tc>
          <w:tcPr>
            <w:tcW w:w="2442" w:type="dxa"/>
            <w:tcBorders>
              <w:top w:val="single" w:sz="4" w:space="0" w:color="auto"/>
              <w:left w:val="single" w:sz="4" w:space="0" w:color="auto"/>
              <w:bottom w:val="single" w:sz="4" w:space="0" w:color="auto"/>
              <w:right w:val="single" w:sz="4" w:space="0" w:color="auto"/>
            </w:tcBorders>
            <w:vAlign w:val="center"/>
          </w:tcPr>
          <w:p w14:paraId="2C426CE2" w14:textId="77777777" w:rsidR="005F02B9" w:rsidRPr="000E063D" w:rsidRDefault="005F02B9" w:rsidP="003E2DCF">
            <w:pPr>
              <w:pStyle w:val="TableText"/>
              <w:rPr>
                <w:rFonts w:ascii="Tw Cen MT" w:hAnsi="Tw Cen MT"/>
              </w:rPr>
            </w:pPr>
            <w:r w:rsidRPr="000E063D">
              <w:rPr>
                <w:rFonts w:ascii="Tw Cen MT" w:hAnsi="Tw Cen MT"/>
              </w:rPr>
              <w:t>Number Tested</w:t>
            </w:r>
          </w:p>
        </w:tc>
      </w:tr>
      <w:tr w:rsidR="005F02B9" w:rsidRPr="000E063D" w14:paraId="34F2A5CB" w14:textId="77777777" w:rsidTr="003E2DCF">
        <w:trPr>
          <w:jc w:val="center"/>
        </w:trPr>
        <w:tc>
          <w:tcPr>
            <w:tcW w:w="783" w:type="dxa"/>
            <w:tcBorders>
              <w:top w:val="single" w:sz="4" w:space="0" w:color="auto"/>
              <w:left w:val="single" w:sz="4" w:space="0" w:color="auto"/>
              <w:bottom w:val="dashed" w:sz="4" w:space="0" w:color="auto"/>
            </w:tcBorders>
            <w:shd w:val="clear" w:color="auto" w:fill="auto"/>
            <w:vAlign w:val="center"/>
          </w:tcPr>
          <w:p w14:paraId="46A3C854" w14:textId="77777777" w:rsidR="005F02B9" w:rsidRPr="000E063D" w:rsidRDefault="005F02B9" w:rsidP="003E2DCF">
            <w:pPr>
              <w:pStyle w:val="TableText"/>
              <w:rPr>
                <w:rFonts w:ascii="Tw Cen MT" w:hAnsi="Tw Cen MT"/>
              </w:rPr>
            </w:pPr>
            <w:r w:rsidRPr="000E063D">
              <w:rPr>
                <w:rFonts w:ascii="Tw Cen MT" w:hAnsi="Tw Cen MT"/>
              </w:rPr>
              <w:t>4</w:t>
            </w:r>
          </w:p>
        </w:tc>
        <w:tc>
          <w:tcPr>
            <w:tcW w:w="2182" w:type="dxa"/>
            <w:tcBorders>
              <w:top w:val="single" w:sz="4" w:space="0" w:color="auto"/>
              <w:bottom w:val="dashed" w:sz="4" w:space="0" w:color="auto"/>
            </w:tcBorders>
            <w:shd w:val="clear" w:color="auto" w:fill="auto"/>
            <w:vAlign w:val="center"/>
          </w:tcPr>
          <w:p w14:paraId="14491968" w14:textId="5D1DA326" w:rsidR="005F02B9" w:rsidRPr="000E063D" w:rsidRDefault="00136BEC" w:rsidP="003E2DCF">
            <w:pPr>
              <w:pStyle w:val="TableText"/>
              <w:rPr>
                <w:rFonts w:ascii="Tw Cen MT" w:hAnsi="Tw Cen MT"/>
              </w:rPr>
            </w:pPr>
            <w:r>
              <w:rPr>
                <w:rFonts w:ascii="Tw Cen MT" w:hAnsi="Tw Cen MT"/>
              </w:rPr>
              <w:t>3</w:t>
            </w:r>
            <w:r w:rsidR="005B2DE7">
              <w:rPr>
                <w:rFonts w:ascii="Tw Cen MT" w:hAnsi="Tw Cen MT"/>
              </w:rPr>
              <w:t>4</w:t>
            </w:r>
            <w:r>
              <w:rPr>
                <w:rFonts w:ascii="Tw Cen MT" w:hAnsi="Tw Cen MT"/>
              </w:rPr>
              <w:t>%</w:t>
            </w:r>
          </w:p>
        </w:tc>
        <w:tc>
          <w:tcPr>
            <w:tcW w:w="2442" w:type="dxa"/>
            <w:tcBorders>
              <w:top w:val="single" w:sz="4" w:space="0" w:color="auto"/>
              <w:bottom w:val="dashed" w:sz="4" w:space="0" w:color="auto"/>
              <w:right w:val="single" w:sz="4" w:space="0" w:color="auto"/>
            </w:tcBorders>
            <w:vAlign w:val="center"/>
          </w:tcPr>
          <w:p w14:paraId="53606AEB" w14:textId="1743002B" w:rsidR="005F02B9" w:rsidRPr="000E063D" w:rsidRDefault="00136BEC" w:rsidP="003E2DCF">
            <w:pPr>
              <w:pStyle w:val="TableText"/>
              <w:rPr>
                <w:rFonts w:ascii="Tw Cen MT" w:hAnsi="Tw Cen MT"/>
              </w:rPr>
            </w:pPr>
            <w:r>
              <w:rPr>
                <w:rFonts w:ascii="Tw Cen MT" w:hAnsi="Tw Cen MT"/>
              </w:rPr>
              <w:t>5</w:t>
            </w:r>
            <w:r w:rsidR="007F3FF1">
              <w:rPr>
                <w:rFonts w:ascii="Tw Cen MT" w:hAnsi="Tw Cen MT"/>
              </w:rPr>
              <w:t>0</w:t>
            </w:r>
          </w:p>
        </w:tc>
      </w:tr>
      <w:tr w:rsidR="005F02B9" w:rsidRPr="000E063D" w14:paraId="7129DB4B" w14:textId="77777777" w:rsidTr="00D077C1">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14:paraId="5BCF3037" w14:textId="77777777" w:rsidR="005F02B9" w:rsidRPr="000E063D" w:rsidRDefault="005F02B9" w:rsidP="003E2DCF">
            <w:pPr>
              <w:pStyle w:val="TableText"/>
              <w:rPr>
                <w:rFonts w:ascii="Tw Cen MT" w:hAnsi="Tw Cen MT"/>
              </w:rPr>
            </w:pPr>
            <w:r w:rsidRPr="000E063D">
              <w:rPr>
                <w:rFonts w:ascii="Tw Cen MT" w:hAnsi="Tw Cen MT"/>
              </w:rPr>
              <w:t>8</w:t>
            </w:r>
          </w:p>
        </w:tc>
        <w:tc>
          <w:tcPr>
            <w:tcW w:w="2182" w:type="dxa"/>
            <w:tcBorders>
              <w:top w:val="single" w:sz="4" w:space="0" w:color="auto"/>
              <w:bottom w:val="double" w:sz="4" w:space="0" w:color="auto"/>
            </w:tcBorders>
            <w:shd w:val="clear" w:color="auto" w:fill="000000" w:themeFill="text1"/>
            <w:vAlign w:val="center"/>
          </w:tcPr>
          <w:p w14:paraId="36799528" w14:textId="77777777" w:rsidR="005F02B9" w:rsidRPr="000E063D" w:rsidRDefault="005F02B9" w:rsidP="003E2DCF">
            <w:pPr>
              <w:pStyle w:val="TableText"/>
              <w:rPr>
                <w:rFonts w:ascii="Tw Cen MT" w:hAnsi="Tw Cen MT"/>
              </w:rPr>
            </w:pPr>
          </w:p>
        </w:tc>
        <w:tc>
          <w:tcPr>
            <w:tcW w:w="2442" w:type="dxa"/>
            <w:tcBorders>
              <w:top w:val="single" w:sz="4" w:space="0" w:color="auto"/>
              <w:bottom w:val="double" w:sz="4" w:space="0" w:color="auto"/>
              <w:right w:val="single" w:sz="4" w:space="0" w:color="auto"/>
            </w:tcBorders>
            <w:shd w:val="clear" w:color="auto" w:fill="000000" w:themeFill="text1"/>
            <w:vAlign w:val="center"/>
          </w:tcPr>
          <w:p w14:paraId="715BFDF0" w14:textId="77777777" w:rsidR="005F02B9" w:rsidRPr="000E063D" w:rsidRDefault="005F02B9" w:rsidP="003E2DCF">
            <w:pPr>
              <w:pStyle w:val="TableText"/>
              <w:rPr>
                <w:rFonts w:ascii="Tw Cen MT" w:hAnsi="Tw Cen MT"/>
              </w:rPr>
            </w:pPr>
          </w:p>
        </w:tc>
      </w:tr>
      <w:tr w:rsidR="005F02B9" w:rsidRPr="000E063D" w14:paraId="2A292136" w14:textId="77777777" w:rsidTr="003E2DCF">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14:paraId="6DCEB6DE" w14:textId="77777777" w:rsidR="005F02B9" w:rsidRPr="000E063D" w:rsidRDefault="005F02B9" w:rsidP="003E2DCF">
            <w:pPr>
              <w:pStyle w:val="TableText"/>
              <w:rPr>
                <w:rFonts w:ascii="Tw Cen MT" w:hAnsi="Tw Cen MT"/>
              </w:rPr>
            </w:pPr>
            <w:r w:rsidRPr="000E063D">
              <w:rPr>
                <w:rFonts w:ascii="Tw Cen MT" w:hAnsi="Tw Cen MT"/>
              </w:rPr>
              <w:t>All</w:t>
            </w:r>
          </w:p>
        </w:tc>
        <w:tc>
          <w:tcPr>
            <w:tcW w:w="2182" w:type="dxa"/>
            <w:tcBorders>
              <w:top w:val="double" w:sz="4" w:space="0" w:color="auto"/>
              <w:bottom w:val="double" w:sz="4" w:space="0" w:color="auto"/>
            </w:tcBorders>
            <w:shd w:val="clear" w:color="auto" w:fill="auto"/>
            <w:vAlign w:val="center"/>
          </w:tcPr>
          <w:p w14:paraId="2E4A4EC5" w14:textId="501F5793" w:rsidR="005F02B9" w:rsidRPr="000E063D" w:rsidRDefault="00136BEC" w:rsidP="003E2DCF">
            <w:pPr>
              <w:pStyle w:val="TableText"/>
              <w:rPr>
                <w:rFonts w:ascii="Tw Cen MT" w:hAnsi="Tw Cen MT"/>
              </w:rPr>
            </w:pPr>
            <w:r>
              <w:rPr>
                <w:rFonts w:ascii="Tw Cen MT" w:hAnsi="Tw Cen MT"/>
              </w:rPr>
              <w:t>3</w:t>
            </w:r>
            <w:r w:rsidR="005B2DE7">
              <w:rPr>
                <w:rFonts w:ascii="Tw Cen MT" w:hAnsi="Tw Cen MT"/>
              </w:rPr>
              <w:t>4</w:t>
            </w:r>
            <w:r>
              <w:rPr>
                <w:rFonts w:ascii="Tw Cen MT" w:hAnsi="Tw Cen MT"/>
              </w:rPr>
              <w:t>%</w:t>
            </w:r>
          </w:p>
        </w:tc>
        <w:tc>
          <w:tcPr>
            <w:tcW w:w="2442" w:type="dxa"/>
            <w:tcBorders>
              <w:top w:val="double" w:sz="4" w:space="0" w:color="auto"/>
              <w:bottom w:val="double" w:sz="4" w:space="0" w:color="auto"/>
              <w:right w:val="single" w:sz="4" w:space="0" w:color="auto"/>
            </w:tcBorders>
            <w:vAlign w:val="center"/>
          </w:tcPr>
          <w:p w14:paraId="73BCB999" w14:textId="040F76E5" w:rsidR="005F02B9" w:rsidRPr="000E063D" w:rsidRDefault="00136BEC" w:rsidP="003E2DCF">
            <w:pPr>
              <w:pStyle w:val="TableText"/>
              <w:rPr>
                <w:rFonts w:ascii="Tw Cen MT" w:hAnsi="Tw Cen MT"/>
              </w:rPr>
            </w:pPr>
            <w:r>
              <w:rPr>
                <w:rFonts w:ascii="Tw Cen MT" w:hAnsi="Tw Cen MT"/>
              </w:rPr>
              <w:t>5</w:t>
            </w:r>
            <w:r w:rsidR="007F3FF1">
              <w:rPr>
                <w:rFonts w:ascii="Tw Cen MT" w:hAnsi="Tw Cen MT"/>
              </w:rPr>
              <w:t>0</w:t>
            </w:r>
          </w:p>
        </w:tc>
      </w:tr>
    </w:tbl>
    <w:p w14:paraId="4E99F9A0" w14:textId="77777777" w:rsidR="005F02B9" w:rsidRPr="000E063D" w:rsidRDefault="005F02B9" w:rsidP="005F02B9">
      <w:pPr>
        <w:rPr>
          <w:rFonts w:ascii="Tw Cen MT" w:hAnsi="Tw Cen MT"/>
          <w:highlight w:val="lightGray"/>
        </w:rPr>
      </w:pPr>
    </w:p>
    <w:p w14:paraId="7BAC4CD6" w14:textId="358AF3D7" w:rsidR="005F02B9" w:rsidRDefault="005F02B9" w:rsidP="002D3639">
      <w:pPr>
        <w:rPr>
          <w:rFonts w:ascii="Tw Cen MT" w:hAnsi="Tw Cen MT"/>
          <w:b/>
          <w:color w:val="000000"/>
          <w:szCs w:val="23"/>
        </w:rPr>
      </w:pPr>
    </w:p>
    <w:p w14:paraId="2EB95247" w14:textId="77777777" w:rsidR="00E5271D" w:rsidRPr="000E063D" w:rsidRDefault="00E5271D" w:rsidP="002D3639">
      <w:pPr>
        <w:rPr>
          <w:rFonts w:ascii="Tw Cen MT" w:hAnsi="Tw Cen MT"/>
          <w:b/>
          <w:color w:val="000000"/>
          <w:szCs w:val="23"/>
        </w:rPr>
      </w:pPr>
    </w:p>
    <w:p w14:paraId="1C0CABC6" w14:textId="20149B7F" w:rsidR="005F02B9" w:rsidRPr="000E063D" w:rsidRDefault="005F02B9" w:rsidP="005F02B9">
      <w:pPr>
        <w:pStyle w:val="MeasureTitle"/>
        <w:rPr>
          <w:rFonts w:ascii="Tw Cen MT" w:hAnsi="Tw Cen MT"/>
        </w:rPr>
      </w:pPr>
      <w:r w:rsidRPr="000E063D">
        <w:rPr>
          <w:rFonts w:ascii="Tw Cen MT" w:hAnsi="Tw Cen MT"/>
        </w:rPr>
        <w:lastRenderedPageBreak/>
        <w:t xml:space="preserve">Goal </w:t>
      </w:r>
      <w:r w:rsidR="00721CCA" w:rsidRPr="000E063D">
        <w:rPr>
          <w:rFonts w:ascii="Tw Cen MT" w:hAnsi="Tw Cen MT"/>
        </w:rPr>
        <w:t>3</w:t>
      </w:r>
      <w:r w:rsidRPr="000E063D">
        <w:rPr>
          <w:rFonts w:ascii="Tw Cen MT" w:hAnsi="Tw Cen MT"/>
        </w:rPr>
        <w:t>: Comparative Measure</w:t>
      </w:r>
    </w:p>
    <w:p w14:paraId="2D26927D" w14:textId="77777777" w:rsidR="005F02B9" w:rsidRPr="000E063D" w:rsidRDefault="005F02B9" w:rsidP="005F02B9">
      <w:pPr>
        <w:pStyle w:val="MeasureText"/>
        <w:rPr>
          <w:rFonts w:ascii="Tw Cen MT" w:hAnsi="Tw Cen MT"/>
          <w:i/>
        </w:rPr>
      </w:pPr>
      <w:r w:rsidRPr="000E063D">
        <w:rPr>
          <w:rFonts w:ascii="Tw Cen MT" w:hAnsi="Tw Cen MT"/>
        </w:rPr>
        <w:t>Each year, the percent of all tested students enrolled in at least their second year and performing at proficiency on the state science exam will be greater than that of all students in the same tested grades in the school district of comparison.</w:t>
      </w:r>
    </w:p>
    <w:p w14:paraId="11217225" w14:textId="6EE923BB" w:rsidR="005F02B9" w:rsidRPr="000E063D" w:rsidRDefault="005F02B9" w:rsidP="005F02B9">
      <w:pPr>
        <w:rPr>
          <w:rFonts w:ascii="Tw Cen MT" w:hAnsi="Tw Cen MT"/>
        </w:rPr>
      </w:pPr>
      <w:r w:rsidRPr="000E063D">
        <w:rPr>
          <w:rFonts w:ascii="Tw Cen MT" w:hAnsi="Tw Cen MT"/>
        </w:rPr>
        <w:t xml:space="preserve">The </w:t>
      </w:r>
      <w:r w:rsidR="007E29FF" w:rsidRPr="000E063D">
        <w:rPr>
          <w:rFonts w:ascii="Tw Cen MT" w:hAnsi="Tw Cen MT"/>
        </w:rPr>
        <w:t>Institute does not require charters to report on this measure for 2021-22.</w:t>
      </w:r>
    </w:p>
    <w:p w14:paraId="5087EF3C" w14:textId="76E382E5" w:rsidR="005F2596" w:rsidRPr="000E063D" w:rsidRDefault="005F2596" w:rsidP="005F2596">
      <w:pPr>
        <w:pStyle w:val="Heading2"/>
        <w:rPr>
          <w:rFonts w:ascii="Tw Cen MT" w:hAnsi="Tw Cen MT"/>
        </w:rPr>
      </w:pPr>
      <w:r w:rsidRPr="000E063D">
        <w:rPr>
          <w:rFonts w:ascii="Tw Cen MT" w:hAnsi="Tw Cen MT"/>
        </w:rPr>
        <w:t xml:space="preserve">Additional </w:t>
      </w:r>
      <w:r w:rsidR="008B5C21" w:rsidRPr="000E063D">
        <w:rPr>
          <w:rFonts w:ascii="Tw Cen MT" w:hAnsi="Tw Cen MT"/>
        </w:rPr>
        <w:t xml:space="preserve">CONTEXT AND </w:t>
      </w:r>
      <w:r w:rsidRPr="000E063D">
        <w:rPr>
          <w:rFonts w:ascii="Tw Cen MT" w:hAnsi="Tw Cen MT"/>
        </w:rPr>
        <w:t>Evidence</w:t>
      </w:r>
    </w:p>
    <w:p w14:paraId="17D3E1F6" w14:textId="2A490979" w:rsidR="008B5C21" w:rsidRPr="007A5FE0" w:rsidRDefault="004F55D2" w:rsidP="008B5C21">
      <w:pPr>
        <w:rPr>
          <w:rFonts w:ascii="Tw Cen MT" w:eastAsiaTheme="minorEastAsia" w:hAnsi="Tw Cen MT" w:cstheme="minorBidi"/>
          <w:b/>
          <w:bCs/>
        </w:rPr>
      </w:pPr>
      <w:bookmarkStart w:id="5" w:name="_Hlk104482566"/>
      <w:r w:rsidRPr="007A5FE0">
        <w:rPr>
          <w:rFonts w:ascii="Tw Cen MT" w:eastAsia="Calibri" w:hAnsi="Tw Cen MT" w:cs="Calibri"/>
        </w:rPr>
        <w:t xml:space="preserve">Given the </w:t>
      </w:r>
      <w:r w:rsidR="001046E4" w:rsidRPr="007A5FE0">
        <w:rPr>
          <w:rFonts w:ascii="Tw Cen MT" w:eastAsia="Calibri" w:hAnsi="Tw Cen MT" w:cs="Calibri"/>
        </w:rPr>
        <w:t xml:space="preserve">age of our school and the COVID-19 pandemic, this was the first year that our scholars had in-person Science instruction with fidelity and a high-quality curriculum.  </w:t>
      </w:r>
      <w:r w:rsidR="007A5FE0" w:rsidRPr="007A5FE0">
        <w:rPr>
          <w:rFonts w:ascii="Tw Cen MT" w:eastAsia="Calibri" w:hAnsi="Tw Cen MT" w:cs="Calibri"/>
        </w:rPr>
        <w:t>Moving forward, Science is a larger focus area of our school, especially as we grow to middle school grades.</w:t>
      </w:r>
    </w:p>
    <w:p w14:paraId="17C739E8" w14:textId="14F167C7" w:rsidR="005F2596" w:rsidRPr="000E063D" w:rsidRDefault="005F2596" w:rsidP="005F2596">
      <w:pPr>
        <w:rPr>
          <w:rFonts w:ascii="Tw Cen MT" w:hAnsi="Tw Cen MT"/>
          <w:b/>
          <w:color w:val="000000"/>
          <w:sz w:val="16"/>
          <w:szCs w:val="16"/>
          <w:u w:val="single"/>
        </w:rPr>
      </w:pPr>
      <w:bookmarkStart w:id="6" w:name="_Hlk104482640"/>
      <w:bookmarkEnd w:id="5"/>
    </w:p>
    <w:p w14:paraId="510533F3" w14:textId="68848CE3" w:rsidR="005F2596" w:rsidRPr="000E063D" w:rsidRDefault="005F2596" w:rsidP="005F2596">
      <w:pPr>
        <w:pStyle w:val="Heading2"/>
        <w:rPr>
          <w:rFonts w:ascii="Tw Cen MT" w:hAnsi="Tw Cen MT"/>
        </w:rPr>
      </w:pPr>
      <w:r w:rsidRPr="000E063D">
        <w:rPr>
          <w:rFonts w:ascii="Tw Cen MT" w:hAnsi="Tw Cen MT"/>
        </w:rPr>
        <w:t>Summary of the Elementary</w:t>
      </w:r>
      <w:r w:rsidR="005F02B9" w:rsidRPr="000E063D">
        <w:rPr>
          <w:rFonts w:ascii="Tw Cen MT" w:hAnsi="Tw Cen MT"/>
        </w:rPr>
        <w:t>/MIDDLE</w:t>
      </w:r>
      <w:r w:rsidRPr="000E063D">
        <w:rPr>
          <w:rFonts w:ascii="Tw Cen MT" w:hAnsi="Tw Cen MT"/>
        </w:rPr>
        <w:t xml:space="preserve"> Science Goal</w:t>
      </w:r>
    </w:p>
    <w:p w14:paraId="61548D3E" w14:textId="4DED86A2" w:rsidR="008B5C21" w:rsidRPr="000E063D" w:rsidRDefault="00654AD1" w:rsidP="008B5C21">
      <w:pPr>
        <w:rPr>
          <w:rFonts w:ascii="Tw Cen MT" w:hAnsi="Tw Cen MT"/>
        </w:rPr>
      </w:pPr>
      <w:r>
        <w:rPr>
          <w:rFonts w:ascii="Tw Cen MT" w:hAnsi="Tw Cen MT"/>
        </w:rPr>
        <w:t xml:space="preserve">As this was our first year of </w:t>
      </w:r>
      <w:r w:rsidR="00367263">
        <w:rPr>
          <w:rFonts w:ascii="Tw Cen MT" w:hAnsi="Tw Cen MT"/>
        </w:rPr>
        <w:t>consistent, in-person Science instruction in our older grades, we will utilize this data set as our baseline data</w:t>
      </w:r>
      <w:r w:rsidR="00D5684F">
        <w:rPr>
          <w:rFonts w:ascii="Tw Cen MT" w:hAnsi="Tw Cen MT"/>
        </w:rPr>
        <w:t xml:space="preserve"> for future years.  </w:t>
      </w:r>
      <w:r w:rsidR="00860A7D">
        <w:rPr>
          <w:rFonts w:ascii="Tw Cen MT" w:hAnsi="Tw Cen MT"/>
        </w:rPr>
        <w:t xml:space="preserve">With another year of consistent Science instruction and use of a consistent curriculum, we anticipate seeing proficiency increase significantly in future years. </w:t>
      </w:r>
    </w:p>
    <w:p w14:paraId="4E15A0B3" w14:textId="77777777" w:rsidR="005F2596" w:rsidRPr="000E063D" w:rsidRDefault="005F2596" w:rsidP="005F2596">
      <w:pPr>
        <w:pStyle w:val="Heading2"/>
        <w:rPr>
          <w:rFonts w:ascii="Tw Cen MT" w:hAnsi="Tw Cen MT"/>
        </w:rPr>
      </w:pPr>
      <w:r w:rsidRPr="000E063D">
        <w:rPr>
          <w:rFonts w:ascii="Tw Cen MT" w:hAnsi="Tw Cen MT"/>
        </w:rPr>
        <w:t>Action Plan</w:t>
      </w:r>
    </w:p>
    <w:bookmarkEnd w:id="6"/>
    <w:p w14:paraId="28F5E4A9" w14:textId="53841B92" w:rsidR="008B5C21" w:rsidRPr="000E063D" w:rsidRDefault="00A16DEA" w:rsidP="008B5C21">
      <w:pPr>
        <w:rPr>
          <w:rFonts w:ascii="Tw Cen MT" w:hAnsi="Tw Cen MT"/>
        </w:rPr>
      </w:pPr>
      <w:r>
        <w:rPr>
          <w:rFonts w:ascii="Tw Cen MT" w:hAnsi="Tw Cen MT"/>
        </w:rPr>
        <w:t xml:space="preserve">Persistence Prep will continue to implement the Amplify Science curriculum to instruct and prepare our scholars in </w:t>
      </w:r>
      <w:proofErr w:type="gramStart"/>
      <w:r>
        <w:rPr>
          <w:rFonts w:ascii="Tw Cen MT" w:hAnsi="Tw Cen MT"/>
        </w:rPr>
        <w:t>Science</w:t>
      </w:r>
      <w:proofErr w:type="gramEnd"/>
      <w:r>
        <w:rPr>
          <w:rFonts w:ascii="Tw Cen MT" w:hAnsi="Tw Cen MT"/>
        </w:rPr>
        <w:t>.  We have hired a dedicated Science teacher who works with scholars in grade 3-5 daily.  We are also working to better integrate units from Amplify Science into grades K-2</w:t>
      </w:r>
      <w:r w:rsidR="001222A1">
        <w:rPr>
          <w:rFonts w:ascii="Tw Cen MT" w:hAnsi="Tw Cen MT"/>
        </w:rPr>
        <w:t xml:space="preserve">.  Our </w:t>
      </w:r>
      <w:proofErr w:type="gramStart"/>
      <w:r w:rsidR="001222A1">
        <w:rPr>
          <w:rFonts w:ascii="Tw Cen MT" w:hAnsi="Tw Cen MT"/>
        </w:rPr>
        <w:t>Science</w:t>
      </w:r>
      <w:proofErr w:type="gramEnd"/>
      <w:r w:rsidR="001222A1">
        <w:rPr>
          <w:rFonts w:ascii="Tw Cen MT" w:hAnsi="Tw Cen MT"/>
        </w:rPr>
        <w:t xml:space="preserve"> teacher is working closely with the Director of Curriculum and Instruction to fully understand the Next Generation Science Standards and prepare for the change in the Science assessment in future years. </w:t>
      </w:r>
    </w:p>
    <w:p w14:paraId="712A5F5C" w14:textId="77777777" w:rsidR="005F2596" w:rsidRPr="000E063D" w:rsidRDefault="005F2596" w:rsidP="005F2596">
      <w:pPr>
        <w:rPr>
          <w:rFonts w:ascii="Tw Cen MT" w:hAnsi="Tw Cen MT"/>
        </w:rPr>
      </w:pPr>
    </w:p>
    <w:p w14:paraId="4510362F" w14:textId="7FDC10A7" w:rsidR="00542DDA" w:rsidRPr="000E063D" w:rsidRDefault="00542DDA" w:rsidP="00684173">
      <w:pPr>
        <w:jc w:val="both"/>
        <w:rPr>
          <w:rFonts w:ascii="Tw Cen MT" w:hAnsi="Tw Cen MT"/>
        </w:rPr>
        <w:sectPr w:rsidR="00542DDA" w:rsidRPr="000E063D" w:rsidSect="00BC64E6">
          <w:pgSz w:w="12240" w:h="15840" w:code="1"/>
          <w:pgMar w:top="1440" w:right="1440" w:bottom="1440" w:left="1440" w:header="720" w:footer="720" w:gutter="0"/>
          <w:pgNumType w:start="1"/>
          <w:cols w:space="720"/>
          <w:docGrid w:linePitch="313"/>
        </w:sectPr>
      </w:pPr>
      <w:bookmarkStart w:id="7" w:name="SocialStudies"/>
    </w:p>
    <w:p w14:paraId="49CE6E17" w14:textId="21D43651" w:rsidR="00056BFE" w:rsidRPr="000E063D" w:rsidRDefault="00EB48F9" w:rsidP="00056BFE">
      <w:pPr>
        <w:pStyle w:val="Heading1"/>
        <w:rPr>
          <w:rFonts w:ascii="Tw Cen MT" w:hAnsi="Tw Cen MT"/>
        </w:rPr>
      </w:pPr>
      <w:bookmarkStart w:id="8" w:name="NCLB"/>
      <w:bookmarkEnd w:id="7"/>
      <w:r w:rsidRPr="000E063D">
        <w:rPr>
          <w:rFonts w:ascii="Tw Cen MT" w:hAnsi="Tw Cen MT"/>
        </w:rPr>
        <w:lastRenderedPageBreak/>
        <w:t xml:space="preserve">GOAL </w:t>
      </w:r>
      <w:r w:rsidR="00721CCA" w:rsidRPr="000E063D">
        <w:rPr>
          <w:rFonts w:ascii="Tw Cen MT" w:hAnsi="Tw Cen MT"/>
        </w:rPr>
        <w:t>4</w:t>
      </w:r>
      <w:r w:rsidRPr="000E063D">
        <w:rPr>
          <w:rFonts w:ascii="Tw Cen MT" w:hAnsi="Tw Cen MT"/>
        </w:rPr>
        <w:t xml:space="preserve">: </w:t>
      </w:r>
      <w:bookmarkEnd w:id="8"/>
      <w:r w:rsidR="006F71AA" w:rsidRPr="000E063D">
        <w:rPr>
          <w:rFonts w:ascii="Tw Cen MT" w:hAnsi="Tw Cen MT"/>
        </w:rPr>
        <w:t>ESSA</w:t>
      </w:r>
    </w:p>
    <w:p w14:paraId="1E185919" w14:textId="4151260C" w:rsidR="0075382B" w:rsidRPr="000E063D" w:rsidRDefault="0075382B" w:rsidP="0075382B">
      <w:pPr>
        <w:rPr>
          <w:rFonts w:ascii="Tw Cen MT" w:hAnsi="Tw Cen MT"/>
        </w:rPr>
      </w:pPr>
      <w:r w:rsidRPr="000E063D">
        <w:rPr>
          <w:rFonts w:ascii="Tw Cen MT" w:hAnsi="Tw Cen MT"/>
        </w:rPr>
        <w:t xml:space="preserve">Due to COVID-19 and the subsequent changes to the state’s testing, accountability, and federal reporting requirements, the </w:t>
      </w:r>
      <w:r w:rsidR="00674956" w:rsidRPr="000E063D">
        <w:rPr>
          <w:rFonts w:ascii="Tw Cen MT" w:hAnsi="Tw Cen MT"/>
        </w:rPr>
        <w:t>2021-22</w:t>
      </w:r>
      <w:r w:rsidRPr="000E063D">
        <w:rPr>
          <w:rFonts w:ascii="Tw Cen MT" w:hAnsi="Tw Cen MT"/>
        </w:rPr>
        <w:t xml:space="preserve"> school accountability statuses are the same as those assigned for the 20</w:t>
      </w:r>
      <w:r w:rsidR="00DE5F5B" w:rsidRPr="000E063D">
        <w:rPr>
          <w:rFonts w:ascii="Tw Cen MT" w:hAnsi="Tw Cen MT"/>
        </w:rPr>
        <w:t>20</w:t>
      </w:r>
      <w:r w:rsidRPr="000E063D">
        <w:rPr>
          <w:rFonts w:ascii="Tw Cen MT" w:hAnsi="Tw Cen MT"/>
        </w:rPr>
        <w:t>-2</w:t>
      </w:r>
      <w:r w:rsidR="00DE5F5B" w:rsidRPr="000E063D">
        <w:rPr>
          <w:rFonts w:ascii="Tw Cen MT" w:hAnsi="Tw Cen MT"/>
        </w:rPr>
        <w:t>1</w:t>
      </w:r>
      <w:r w:rsidRPr="000E063D">
        <w:rPr>
          <w:rFonts w:ascii="Tw Cen MT" w:hAnsi="Tw Cen MT"/>
        </w:rPr>
        <w:t xml:space="preserve"> school year.  Assigned accountability designations and further context can be found </w:t>
      </w:r>
      <w:hyperlink r:id="rId14" w:history="1">
        <w:r w:rsidRPr="000E063D">
          <w:rPr>
            <w:rStyle w:val="Hyperlink"/>
            <w:rFonts w:ascii="Tw Cen MT" w:hAnsi="Tw Cen MT"/>
          </w:rPr>
          <w:t>here</w:t>
        </w:r>
      </w:hyperlink>
      <w:r w:rsidRPr="000E063D">
        <w:rPr>
          <w:rFonts w:ascii="Tw Cen MT" w:hAnsi="Tw Cen MT"/>
        </w:rPr>
        <w:t>.</w:t>
      </w:r>
    </w:p>
    <w:p w14:paraId="790B0D27" w14:textId="29728836" w:rsidR="00056BFE" w:rsidRPr="000E063D" w:rsidRDefault="00056BFE" w:rsidP="00056BFE">
      <w:pPr>
        <w:pStyle w:val="MeasureTitle"/>
        <w:rPr>
          <w:rFonts w:ascii="Tw Cen MT" w:hAnsi="Tw Cen MT"/>
        </w:rPr>
      </w:pPr>
      <w:r w:rsidRPr="000E063D">
        <w:rPr>
          <w:rFonts w:ascii="Tw Cen MT" w:hAnsi="Tw Cen MT"/>
        </w:rPr>
        <w:t xml:space="preserve">Goal </w:t>
      </w:r>
      <w:r w:rsidR="00721CCA" w:rsidRPr="000E063D">
        <w:rPr>
          <w:rFonts w:ascii="Tw Cen MT" w:hAnsi="Tw Cen MT"/>
        </w:rPr>
        <w:t>4</w:t>
      </w:r>
      <w:r w:rsidRPr="000E063D">
        <w:rPr>
          <w:rFonts w:ascii="Tw Cen MT" w:hAnsi="Tw Cen MT"/>
        </w:rPr>
        <w:t>: Absolute Measure</w:t>
      </w:r>
    </w:p>
    <w:p w14:paraId="38049C50" w14:textId="16D407BD" w:rsidR="00056BFE" w:rsidRPr="000E063D" w:rsidRDefault="00056BFE" w:rsidP="00056BFE">
      <w:pPr>
        <w:pStyle w:val="MeasureText"/>
        <w:rPr>
          <w:rFonts w:ascii="Tw Cen MT" w:hAnsi="Tw Cen MT"/>
          <w:i/>
        </w:rPr>
      </w:pPr>
      <w:r w:rsidRPr="000E063D">
        <w:rPr>
          <w:rFonts w:ascii="Tw Cen MT" w:hAnsi="Tw Cen MT"/>
        </w:rPr>
        <w:t xml:space="preserve">Under the state’s </w:t>
      </w:r>
      <w:r w:rsidR="006F71AA" w:rsidRPr="000E063D">
        <w:rPr>
          <w:rFonts w:ascii="Tw Cen MT" w:hAnsi="Tw Cen MT"/>
        </w:rPr>
        <w:t xml:space="preserve">ESSA </w:t>
      </w:r>
      <w:r w:rsidRPr="000E063D">
        <w:rPr>
          <w:rFonts w:ascii="Tw Cen MT" w:hAnsi="Tw Cen MT"/>
        </w:rPr>
        <w:t xml:space="preserve">accountability system, the school is in good standing:  the state has not identified the school </w:t>
      </w:r>
      <w:r w:rsidR="006F71AA" w:rsidRPr="000E063D">
        <w:rPr>
          <w:rFonts w:ascii="Tw Cen MT" w:hAnsi="Tw Cen MT"/>
        </w:rPr>
        <w:t>for comprehensive or targeted improvement</w:t>
      </w:r>
      <w:r w:rsidRPr="000E063D">
        <w:rPr>
          <w:rFonts w:ascii="Tw Cen MT" w:hAnsi="Tw Cen MT"/>
        </w:rPr>
        <w:t xml:space="preserve">.  </w:t>
      </w:r>
    </w:p>
    <w:p w14:paraId="23ED6861" w14:textId="77777777" w:rsidR="00056BFE" w:rsidRPr="000E063D" w:rsidRDefault="00056BFE" w:rsidP="00056BFE">
      <w:pPr>
        <w:pStyle w:val="Heading2"/>
        <w:rPr>
          <w:rFonts w:ascii="Tw Cen MT" w:hAnsi="Tw Cen MT"/>
        </w:rPr>
      </w:pPr>
      <w:r w:rsidRPr="000E063D">
        <w:rPr>
          <w:rFonts w:ascii="Tw Cen MT" w:hAnsi="Tw Cen MT"/>
        </w:rPr>
        <w:t>Method</w:t>
      </w:r>
    </w:p>
    <w:p w14:paraId="45C9CD2D" w14:textId="5BD190AA" w:rsidR="006F71AA" w:rsidRPr="000E063D" w:rsidRDefault="006F71AA" w:rsidP="00056BFE">
      <w:pPr>
        <w:rPr>
          <w:rFonts w:ascii="Tw Cen MT" w:hAnsi="Tw Cen MT"/>
        </w:rPr>
      </w:pPr>
      <w:r w:rsidRPr="000E063D">
        <w:rPr>
          <w:rFonts w:ascii="Tw Cen MT" w:hAnsi="Tw Cen MT"/>
          <w:szCs w:val="23"/>
        </w:rPr>
        <w:t xml:space="preserve">Because </w:t>
      </w:r>
      <w:r w:rsidRPr="000E063D">
        <w:rPr>
          <w:rFonts w:ascii="Tw Cen MT" w:hAnsi="Tw Cen MT"/>
          <w:i/>
          <w:szCs w:val="23"/>
        </w:rPr>
        <w:t>all</w:t>
      </w:r>
      <w:r w:rsidRPr="000E063D">
        <w:rPr>
          <w:rFonts w:ascii="Tw Cen MT" w:hAnsi="Tw Cen MT"/>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ESSA accountability requirements.  </w:t>
      </w:r>
      <w:r w:rsidR="009B1B4E" w:rsidRPr="000E063D">
        <w:rPr>
          <w:rFonts w:ascii="Tw Cen MT" w:hAnsi="Tw Cen MT"/>
          <w:szCs w:val="23"/>
        </w:rPr>
        <w:t>Each year, the state issues School Report Cards that indicate a school’s status under the state accountability system.</w:t>
      </w:r>
    </w:p>
    <w:p w14:paraId="14EF71F4" w14:textId="3EA52FA7" w:rsidR="00056BFE" w:rsidRPr="000E063D" w:rsidRDefault="00056BFE" w:rsidP="00056BFE">
      <w:pPr>
        <w:pStyle w:val="Heading2"/>
        <w:rPr>
          <w:rFonts w:ascii="Tw Cen MT" w:hAnsi="Tw Cen MT"/>
        </w:rPr>
      </w:pPr>
      <w:r w:rsidRPr="000E063D">
        <w:rPr>
          <w:rFonts w:ascii="Tw Cen MT" w:hAnsi="Tw Cen MT"/>
        </w:rPr>
        <w:t>Results</w:t>
      </w:r>
      <w:r w:rsidR="009B1B4E" w:rsidRPr="000E063D">
        <w:rPr>
          <w:rFonts w:ascii="Tw Cen MT" w:hAnsi="Tw Cen MT"/>
        </w:rPr>
        <w:t xml:space="preserve"> and evaluation</w:t>
      </w:r>
    </w:p>
    <w:p w14:paraId="198FF21E" w14:textId="795B27F0" w:rsidR="00891842" w:rsidRDefault="00F97153" w:rsidP="00891842">
      <w:pPr>
        <w:rPr>
          <w:rFonts w:ascii="Tw Cen MT" w:hAnsi="Tw Cen MT"/>
          <w:szCs w:val="23"/>
        </w:rPr>
      </w:pPr>
      <w:r w:rsidRPr="00F97153">
        <w:rPr>
          <w:rFonts w:ascii="Tw Cen MT" w:hAnsi="Tw Cen MT"/>
          <w:szCs w:val="23"/>
        </w:rPr>
        <w:t>Due to COVID - 19 and resulting changes to New York State testing, accountability, and federal reporting requirements, 202</w:t>
      </w:r>
      <w:r w:rsidR="00F77C69">
        <w:rPr>
          <w:rFonts w:ascii="Tw Cen MT" w:hAnsi="Tw Cen MT"/>
          <w:szCs w:val="23"/>
        </w:rPr>
        <w:t>1</w:t>
      </w:r>
      <w:r w:rsidRPr="00F97153">
        <w:rPr>
          <w:rFonts w:ascii="Tw Cen MT" w:hAnsi="Tw Cen MT"/>
          <w:szCs w:val="23"/>
        </w:rPr>
        <w:t>-2</w:t>
      </w:r>
      <w:r w:rsidR="00F77C69">
        <w:rPr>
          <w:rFonts w:ascii="Tw Cen MT" w:hAnsi="Tw Cen MT"/>
          <w:szCs w:val="23"/>
        </w:rPr>
        <w:t>2</w:t>
      </w:r>
      <w:r w:rsidRPr="00F97153">
        <w:rPr>
          <w:rFonts w:ascii="Tw Cen MT" w:hAnsi="Tw Cen MT"/>
          <w:szCs w:val="23"/>
        </w:rPr>
        <w:t xml:space="preserve"> district and school accountability statuses are the same as those assigned for the 2019-20 school year.</w:t>
      </w:r>
    </w:p>
    <w:p w14:paraId="2D3BAD32" w14:textId="77777777" w:rsidR="00891842" w:rsidRPr="00BF1D5A" w:rsidRDefault="00891842" w:rsidP="00891842">
      <w:pPr>
        <w:rPr>
          <w:rFonts w:ascii="Tw Cen MT" w:hAnsi="Tw Cen MT"/>
          <w:szCs w:val="23"/>
        </w:rPr>
      </w:pPr>
    </w:p>
    <w:p w14:paraId="37B63B45" w14:textId="645E6B7B" w:rsidR="00056BFE" w:rsidRPr="000E063D" w:rsidRDefault="009B1B4E" w:rsidP="00056BFE">
      <w:pPr>
        <w:pStyle w:val="TableHeader"/>
        <w:rPr>
          <w:rFonts w:ascii="Tw Cen MT" w:hAnsi="Tw Cen MT"/>
        </w:rPr>
      </w:pPr>
      <w:r w:rsidRPr="000E063D">
        <w:rPr>
          <w:rFonts w:ascii="Tw Cen MT" w:hAnsi="Tw Cen MT"/>
        </w:rPr>
        <w:t xml:space="preserve">Accountability </w:t>
      </w:r>
      <w:r w:rsidR="00056BFE" w:rsidRPr="000E063D">
        <w:rPr>
          <w:rFonts w:ascii="Tw Cen MT" w:hAnsi="Tw Cen MT"/>
        </w:rPr>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0E063D" w14:paraId="1D92816D" w14:textId="77777777" w:rsidTr="00A11B5F">
        <w:trPr>
          <w:trHeight w:val="230"/>
          <w:jc w:val="center"/>
        </w:trPr>
        <w:tc>
          <w:tcPr>
            <w:tcW w:w="1064" w:type="dxa"/>
            <w:shd w:val="clear" w:color="auto" w:fill="BFBFBF" w:themeFill="background1" w:themeFillShade="BF"/>
            <w:vAlign w:val="center"/>
          </w:tcPr>
          <w:p w14:paraId="650CA72C" w14:textId="77777777" w:rsidR="00056BFE" w:rsidRPr="00A11B5F" w:rsidRDefault="00056BFE" w:rsidP="002C1A58">
            <w:pPr>
              <w:pStyle w:val="TableText"/>
              <w:rPr>
                <w:rFonts w:ascii="Tw Cen MT" w:hAnsi="Tw Cen MT"/>
                <w:b/>
                <w:bCs/>
              </w:rPr>
            </w:pPr>
            <w:r w:rsidRPr="00A11B5F">
              <w:rPr>
                <w:rFonts w:ascii="Tw Cen MT" w:hAnsi="Tw Cen MT"/>
                <w:b/>
                <w:bCs/>
              </w:rPr>
              <w:t>Year</w:t>
            </w:r>
          </w:p>
        </w:tc>
        <w:tc>
          <w:tcPr>
            <w:tcW w:w="5326" w:type="dxa"/>
            <w:shd w:val="clear" w:color="auto" w:fill="BFBFBF" w:themeFill="background1" w:themeFillShade="BF"/>
            <w:vAlign w:val="center"/>
          </w:tcPr>
          <w:p w14:paraId="31762C69" w14:textId="77777777" w:rsidR="00056BFE" w:rsidRPr="00A11B5F" w:rsidRDefault="00056BFE" w:rsidP="002C1A58">
            <w:pPr>
              <w:pStyle w:val="TableText"/>
              <w:rPr>
                <w:rFonts w:ascii="Tw Cen MT" w:hAnsi="Tw Cen MT"/>
                <w:b/>
                <w:bCs/>
              </w:rPr>
            </w:pPr>
            <w:r w:rsidRPr="00A11B5F">
              <w:rPr>
                <w:rFonts w:ascii="Tw Cen MT" w:hAnsi="Tw Cen MT"/>
                <w:b/>
                <w:bCs/>
              </w:rPr>
              <w:t>Status</w:t>
            </w:r>
          </w:p>
        </w:tc>
      </w:tr>
      <w:tr w:rsidR="00056BFE" w:rsidRPr="000E063D" w14:paraId="35E9B8B6" w14:textId="77777777" w:rsidTr="002C1A58">
        <w:trPr>
          <w:jc w:val="center"/>
        </w:trPr>
        <w:tc>
          <w:tcPr>
            <w:tcW w:w="1064" w:type="dxa"/>
            <w:vAlign w:val="center"/>
          </w:tcPr>
          <w:p w14:paraId="187BFECD" w14:textId="0FC75884" w:rsidR="00056BFE" w:rsidRPr="000E063D" w:rsidRDefault="00056BFE" w:rsidP="002C1A58">
            <w:pPr>
              <w:pStyle w:val="TableText"/>
              <w:rPr>
                <w:rFonts w:ascii="Tw Cen MT" w:hAnsi="Tw Cen MT"/>
              </w:rPr>
            </w:pPr>
            <w:r w:rsidRPr="000E063D">
              <w:rPr>
                <w:rFonts w:ascii="Tw Cen MT" w:hAnsi="Tw Cen MT"/>
              </w:rPr>
              <w:t>201</w:t>
            </w:r>
            <w:r w:rsidR="00DE5F5B" w:rsidRPr="000E063D">
              <w:rPr>
                <w:rFonts w:ascii="Tw Cen MT" w:hAnsi="Tw Cen MT"/>
              </w:rPr>
              <w:t>9</w:t>
            </w:r>
            <w:r w:rsidRPr="000E063D">
              <w:rPr>
                <w:rFonts w:ascii="Tw Cen MT" w:hAnsi="Tw Cen MT"/>
              </w:rPr>
              <w:t>-</w:t>
            </w:r>
            <w:r w:rsidR="00DE5F5B" w:rsidRPr="000E063D">
              <w:rPr>
                <w:rFonts w:ascii="Tw Cen MT" w:hAnsi="Tw Cen MT"/>
              </w:rPr>
              <w:t>20</w:t>
            </w:r>
          </w:p>
        </w:tc>
        <w:tc>
          <w:tcPr>
            <w:tcW w:w="5326" w:type="dxa"/>
          </w:tcPr>
          <w:p w14:paraId="67EACDE5" w14:textId="7D70797D" w:rsidR="00056BFE" w:rsidRPr="000E063D" w:rsidRDefault="00790B28" w:rsidP="002C1A58">
            <w:pPr>
              <w:pStyle w:val="TableText"/>
              <w:rPr>
                <w:rFonts w:ascii="Tw Cen MT" w:hAnsi="Tw Cen MT"/>
              </w:rPr>
            </w:pPr>
            <w:r>
              <w:rPr>
                <w:rFonts w:ascii="Tw Cen MT" w:hAnsi="Tw Cen MT"/>
              </w:rPr>
              <w:t>Good Standing</w:t>
            </w:r>
          </w:p>
        </w:tc>
      </w:tr>
      <w:tr w:rsidR="00056BFE" w:rsidRPr="000E063D" w14:paraId="0CC227B9" w14:textId="77777777" w:rsidTr="002C1A58">
        <w:trPr>
          <w:jc w:val="center"/>
        </w:trPr>
        <w:tc>
          <w:tcPr>
            <w:tcW w:w="1064" w:type="dxa"/>
            <w:vAlign w:val="center"/>
          </w:tcPr>
          <w:p w14:paraId="625FF4E2" w14:textId="44FB946A" w:rsidR="00056BFE" w:rsidRPr="000E063D" w:rsidRDefault="00056BFE" w:rsidP="002C1A58">
            <w:pPr>
              <w:pStyle w:val="TableText"/>
              <w:rPr>
                <w:rFonts w:ascii="Tw Cen MT" w:hAnsi="Tw Cen MT"/>
              </w:rPr>
            </w:pPr>
            <w:r w:rsidRPr="000E063D">
              <w:rPr>
                <w:rFonts w:ascii="Tw Cen MT" w:hAnsi="Tw Cen MT"/>
              </w:rPr>
              <w:t>20</w:t>
            </w:r>
            <w:r w:rsidR="00DE5F5B" w:rsidRPr="000E063D">
              <w:rPr>
                <w:rFonts w:ascii="Tw Cen MT" w:hAnsi="Tw Cen MT"/>
              </w:rPr>
              <w:t>20</w:t>
            </w:r>
            <w:r w:rsidR="0075382B" w:rsidRPr="000E063D">
              <w:rPr>
                <w:rFonts w:ascii="Tw Cen MT" w:hAnsi="Tw Cen MT"/>
              </w:rPr>
              <w:t>-2</w:t>
            </w:r>
            <w:r w:rsidR="00DE5F5B" w:rsidRPr="000E063D">
              <w:rPr>
                <w:rFonts w:ascii="Tw Cen MT" w:hAnsi="Tw Cen MT"/>
              </w:rPr>
              <w:t>1</w:t>
            </w:r>
          </w:p>
        </w:tc>
        <w:tc>
          <w:tcPr>
            <w:tcW w:w="5326" w:type="dxa"/>
          </w:tcPr>
          <w:p w14:paraId="164268FB" w14:textId="0AA55DE3" w:rsidR="00056BFE" w:rsidRPr="000E063D" w:rsidRDefault="00790B28" w:rsidP="002C1A58">
            <w:pPr>
              <w:pStyle w:val="TableText"/>
              <w:rPr>
                <w:rFonts w:ascii="Tw Cen MT" w:hAnsi="Tw Cen MT"/>
              </w:rPr>
            </w:pPr>
            <w:r>
              <w:rPr>
                <w:rFonts w:ascii="Tw Cen MT" w:hAnsi="Tw Cen MT"/>
              </w:rPr>
              <w:t>Good Standing</w:t>
            </w:r>
          </w:p>
        </w:tc>
      </w:tr>
      <w:tr w:rsidR="00056BFE" w:rsidRPr="000E063D" w14:paraId="0F71B7A9" w14:textId="77777777" w:rsidTr="002C1A58">
        <w:trPr>
          <w:jc w:val="center"/>
        </w:trPr>
        <w:tc>
          <w:tcPr>
            <w:tcW w:w="1064" w:type="dxa"/>
            <w:vAlign w:val="center"/>
          </w:tcPr>
          <w:p w14:paraId="0F7AA313" w14:textId="1E87013B" w:rsidR="00056BFE" w:rsidRPr="000E063D" w:rsidRDefault="00674956" w:rsidP="002C1A58">
            <w:pPr>
              <w:pStyle w:val="TableText"/>
              <w:rPr>
                <w:rFonts w:ascii="Tw Cen MT" w:hAnsi="Tw Cen MT"/>
              </w:rPr>
            </w:pPr>
            <w:r w:rsidRPr="000E063D">
              <w:rPr>
                <w:rFonts w:ascii="Tw Cen MT" w:hAnsi="Tw Cen MT"/>
              </w:rPr>
              <w:t>2021-22</w:t>
            </w:r>
          </w:p>
        </w:tc>
        <w:tc>
          <w:tcPr>
            <w:tcW w:w="5326" w:type="dxa"/>
          </w:tcPr>
          <w:p w14:paraId="6ECED296" w14:textId="64DFAA68" w:rsidR="00056BFE" w:rsidRPr="000E063D" w:rsidRDefault="00790B28" w:rsidP="002C1A58">
            <w:pPr>
              <w:pStyle w:val="TableText"/>
              <w:rPr>
                <w:rFonts w:ascii="Tw Cen MT" w:hAnsi="Tw Cen MT"/>
              </w:rPr>
            </w:pPr>
            <w:r>
              <w:rPr>
                <w:rFonts w:ascii="Tw Cen MT" w:hAnsi="Tw Cen MT"/>
              </w:rPr>
              <w:t>Good Standing</w:t>
            </w:r>
          </w:p>
        </w:tc>
      </w:tr>
    </w:tbl>
    <w:p w14:paraId="4574D26C" w14:textId="77777777" w:rsidR="00525629" w:rsidRPr="000E063D" w:rsidRDefault="00525629" w:rsidP="00FA28CA">
      <w:pPr>
        <w:pStyle w:val="Heading1"/>
        <w:rPr>
          <w:rFonts w:ascii="Tw Cen MT" w:hAnsi="Tw Cen MT"/>
        </w:rPr>
      </w:pPr>
      <w:bookmarkStart w:id="9" w:name="_APPENDIX_A:_DATA"/>
      <w:bookmarkEnd w:id="9"/>
    </w:p>
    <w:sectPr w:rsidR="00525629" w:rsidRPr="000E063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16A6" w14:textId="77777777" w:rsidR="00B2346B" w:rsidRDefault="00B2346B" w:rsidP="00056BFE">
      <w:pPr>
        <w:spacing w:after="0"/>
      </w:pPr>
      <w:r>
        <w:separator/>
      </w:r>
    </w:p>
  </w:endnote>
  <w:endnote w:type="continuationSeparator" w:id="0">
    <w:p w14:paraId="4FF90598" w14:textId="77777777" w:rsidR="00B2346B" w:rsidRDefault="00B2346B" w:rsidP="00056BFE">
      <w:pPr>
        <w:spacing w:after="0"/>
      </w:pPr>
      <w:r>
        <w:continuationSeparator/>
      </w:r>
    </w:p>
  </w:endnote>
  <w:endnote w:type="continuationNotice" w:id="1">
    <w:p w14:paraId="22CB50B4" w14:textId="77777777" w:rsidR="00B2346B" w:rsidRDefault="00B23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4119" w14:textId="74DD5013" w:rsidR="00DF6505" w:rsidRPr="004C61EF" w:rsidRDefault="00B35705">
    <w:pPr>
      <w:pStyle w:val="Footer"/>
      <w:rPr>
        <w:rFonts w:ascii="Tw Cen MT" w:hAnsi="Tw Cen MT"/>
      </w:rPr>
    </w:pPr>
    <w:r w:rsidRPr="004C61EF">
      <w:rPr>
        <w:rFonts w:ascii="Tw Cen MT" w:hAnsi="Tw Cen MT"/>
      </w:rPr>
      <w:t>Persistence Prep</w:t>
    </w:r>
    <w:r w:rsidR="00DF6505" w:rsidRPr="004C61EF">
      <w:rPr>
        <w:rFonts w:ascii="Tw Cen MT" w:hAnsi="Tw Cen MT"/>
      </w:rPr>
      <w:t xml:space="preserve"> Charter School </w:t>
    </w:r>
    <w:r w:rsidRPr="004C61EF">
      <w:rPr>
        <w:rFonts w:ascii="Tw Cen MT" w:hAnsi="Tw Cen MT"/>
      </w:rPr>
      <w:tab/>
      <w:t xml:space="preserve">     </w:t>
    </w:r>
    <w:r w:rsidR="00674956" w:rsidRPr="004C61EF">
      <w:rPr>
        <w:rFonts w:ascii="Tw Cen MT" w:hAnsi="Tw Cen MT"/>
      </w:rPr>
      <w:t>2021-22</w:t>
    </w:r>
    <w:r w:rsidR="00DF6505" w:rsidRPr="004C61EF">
      <w:rPr>
        <w:rFonts w:ascii="Tw Cen MT" w:hAnsi="Tw Cen MT"/>
      </w:rPr>
      <w:t xml:space="preserve"> Accountability Plan Progress Report        Page </w:t>
    </w:r>
    <w:r w:rsidR="00DF6505" w:rsidRPr="004C61EF">
      <w:rPr>
        <w:rFonts w:ascii="Tw Cen MT" w:hAnsi="Tw Cen MT"/>
        <w:bCs/>
      </w:rPr>
      <w:fldChar w:fldCharType="begin"/>
    </w:r>
    <w:r w:rsidR="00DF6505" w:rsidRPr="004C61EF">
      <w:rPr>
        <w:rFonts w:ascii="Tw Cen MT" w:hAnsi="Tw Cen MT"/>
        <w:bCs/>
      </w:rPr>
      <w:instrText xml:space="preserve"> PAGE  \* Arabic  \* MERGEFORMAT </w:instrText>
    </w:r>
    <w:r w:rsidR="00DF6505" w:rsidRPr="004C61EF">
      <w:rPr>
        <w:rFonts w:ascii="Tw Cen MT" w:hAnsi="Tw Cen MT"/>
        <w:bCs/>
      </w:rPr>
      <w:fldChar w:fldCharType="separate"/>
    </w:r>
    <w:r w:rsidR="00393E2E" w:rsidRPr="004C61EF">
      <w:rPr>
        <w:rFonts w:ascii="Tw Cen MT" w:hAnsi="Tw Cen MT"/>
        <w:bCs/>
        <w:noProof/>
      </w:rPr>
      <w:t>1</w:t>
    </w:r>
    <w:r w:rsidR="00DF6505" w:rsidRPr="004C61EF">
      <w:rPr>
        <w:rFonts w:ascii="Tw Cen MT" w:hAnsi="Tw Cen MT"/>
        <w:bCs/>
      </w:rPr>
      <w:fldChar w:fldCharType="end"/>
    </w:r>
    <w:r w:rsidR="00DF6505" w:rsidRPr="004C61EF">
      <w:rPr>
        <w:rFonts w:ascii="Tw Cen MT" w:hAnsi="Tw Cen MT"/>
      </w:rPr>
      <w:t xml:space="preserve"> of </w:t>
    </w:r>
    <w:r w:rsidR="00DF6505" w:rsidRPr="004C61EF">
      <w:rPr>
        <w:rFonts w:ascii="Tw Cen MT" w:hAnsi="Tw Cen MT"/>
        <w:bCs/>
      </w:rPr>
      <w:fldChar w:fldCharType="begin"/>
    </w:r>
    <w:r w:rsidR="00DF6505" w:rsidRPr="004C61EF">
      <w:rPr>
        <w:rFonts w:ascii="Tw Cen MT" w:hAnsi="Tw Cen MT"/>
        <w:bCs/>
      </w:rPr>
      <w:instrText xml:space="preserve"> NUMPAGES  \* Arabic  \* MERGEFORMAT </w:instrText>
    </w:r>
    <w:r w:rsidR="00DF6505" w:rsidRPr="004C61EF">
      <w:rPr>
        <w:rFonts w:ascii="Tw Cen MT" w:hAnsi="Tw Cen MT"/>
        <w:bCs/>
      </w:rPr>
      <w:fldChar w:fldCharType="separate"/>
    </w:r>
    <w:r w:rsidR="00393E2E" w:rsidRPr="004C61EF">
      <w:rPr>
        <w:rFonts w:ascii="Tw Cen MT" w:hAnsi="Tw Cen MT"/>
        <w:bCs/>
        <w:noProof/>
      </w:rPr>
      <w:t>44</w:t>
    </w:r>
    <w:r w:rsidR="00DF6505" w:rsidRPr="004C61EF">
      <w:rPr>
        <w:rFonts w:ascii="Tw Cen MT" w:hAnsi="Tw Cen MT"/>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58AD" w14:textId="77777777" w:rsidR="00B2346B" w:rsidRDefault="00B2346B" w:rsidP="00056BFE">
      <w:pPr>
        <w:spacing w:after="0"/>
      </w:pPr>
      <w:r>
        <w:separator/>
      </w:r>
    </w:p>
  </w:footnote>
  <w:footnote w:type="continuationSeparator" w:id="0">
    <w:p w14:paraId="58833DB4" w14:textId="77777777" w:rsidR="00B2346B" w:rsidRDefault="00B2346B" w:rsidP="00056BFE">
      <w:pPr>
        <w:spacing w:after="0"/>
      </w:pPr>
      <w:r>
        <w:continuationSeparator/>
      </w:r>
    </w:p>
  </w:footnote>
  <w:footnote w:type="continuationNotice" w:id="1">
    <w:p w14:paraId="4929A723" w14:textId="77777777" w:rsidR="00B2346B" w:rsidRDefault="00B23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05F" w14:textId="31B8C281" w:rsidR="00DF6505" w:rsidRPr="0075302F" w:rsidRDefault="00674956" w:rsidP="00D5137F">
    <w:pPr>
      <w:pStyle w:val="BlueHeader"/>
      <w:jc w:val="center"/>
    </w:pPr>
    <w:r>
      <w:t>2021-22</w:t>
    </w:r>
    <w:r w:rsidR="00DF6505">
      <w:t xml:space="preserve">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BBF" w14:textId="3FFFB03D" w:rsidR="00DF6505" w:rsidRPr="0075302F" w:rsidRDefault="00674956" w:rsidP="00B11F2A">
    <w:pPr>
      <w:pStyle w:val="BlueHeader"/>
      <w:tabs>
        <w:tab w:val="left" w:pos="2925"/>
        <w:tab w:val="left" w:pos="3885"/>
      </w:tabs>
      <w:jc w:val="center"/>
    </w:pPr>
    <w:r>
      <w:t>2021-22</w:t>
    </w:r>
    <w:r w:rsidR="00DF6505">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625"/>
    <w:multiLevelType w:val="hybridMultilevel"/>
    <w:tmpl w:val="7D7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16338"/>
    <w:multiLevelType w:val="hybridMultilevel"/>
    <w:tmpl w:val="6004FBF8"/>
    <w:lvl w:ilvl="0" w:tplc="F3FCBE18">
      <w:start w:val="1"/>
      <w:numFmt w:val="decimal"/>
      <w:lvlText w:val="%1."/>
      <w:lvlJc w:val="left"/>
      <w:pPr>
        <w:ind w:left="232" w:hanging="216"/>
      </w:pPr>
      <w:rPr>
        <w:rFonts w:ascii="Calibri" w:eastAsia="Calibri" w:hAnsi="Calibri" w:cs="Calibri" w:hint="default"/>
        <w:w w:val="99"/>
        <w:sz w:val="22"/>
        <w:szCs w:val="22"/>
      </w:rPr>
    </w:lvl>
    <w:lvl w:ilvl="1" w:tplc="4F968D60">
      <w:numFmt w:val="bullet"/>
      <w:lvlText w:val="•"/>
      <w:lvlJc w:val="left"/>
      <w:pPr>
        <w:ind w:left="1316" w:hanging="216"/>
      </w:pPr>
      <w:rPr>
        <w:rFonts w:hint="default"/>
      </w:rPr>
    </w:lvl>
    <w:lvl w:ilvl="2" w:tplc="15AE17B8">
      <w:numFmt w:val="bullet"/>
      <w:lvlText w:val="•"/>
      <w:lvlJc w:val="left"/>
      <w:pPr>
        <w:ind w:left="2392" w:hanging="216"/>
      </w:pPr>
      <w:rPr>
        <w:rFonts w:hint="default"/>
      </w:rPr>
    </w:lvl>
    <w:lvl w:ilvl="3" w:tplc="400678C6">
      <w:numFmt w:val="bullet"/>
      <w:lvlText w:val="•"/>
      <w:lvlJc w:val="left"/>
      <w:pPr>
        <w:ind w:left="3468" w:hanging="216"/>
      </w:pPr>
      <w:rPr>
        <w:rFonts w:hint="default"/>
      </w:rPr>
    </w:lvl>
    <w:lvl w:ilvl="4" w:tplc="B3289B5C">
      <w:numFmt w:val="bullet"/>
      <w:lvlText w:val="•"/>
      <w:lvlJc w:val="left"/>
      <w:pPr>
        <w:ind w:left="4544" w:hanging="216"/>
      </w:pPr>
      <w:rPr>
        <w:rFonts w:hint="default"/>
      </w:rPr>
    </w:lvl>
    <w:lvl w:ilvl="5" w:tplc="86A61926">
      <w:numFmt w:val="bullet"/>
      <w:lvlText w:val="•"/>
      <w:lvlJc w:val="left"/>
      <w:pPr>
        <w:ind w:left="5620" w:hanging="216"/>
      </w:pPr>
      <w:rPr>
        <w:rFonts w:hint="default"/>
      </w:rPr>
    </w:lvl>
    <w:lvl w:ilvl="6" w:tplc="2F3ECBF4">
      <w:numFmt w:val="bullet"/>
      <w:lvlText w:val="•"/>
      <w:lvlJc w:val="left"/>
      <w:pPr>
        <w:ind w:left="6696" w:hanging="216"/>
      </w:pPr>
      <w:rPr>
        <w:rFonts w:hint="default"/>
      </w:rPr>
    </w:lvl>
    <w:lvl w:ilvl="7" w:tplc="D30E5BA2">
      <w:numFmt w:val="bullet"/>
      <w:lvlText w:val="•"/>
      <w:lvlJc w:val="left"/>
      <w:pPr>
        <w:ind w:left="7772" w:hanging="216"/>
      </w:pPr>
      <w:rPr>
        <w:rFonts w:hint="default"/>
      </w:rPr>
    </w:lvl>
    <w:lvl w:ilvl="8" w:tplc="CF8A9736">
      <w:numFmt w:val="bullet"/>
      <w:lvlText w:val="•"/>
      <w:lvlJc w:val="left"/>
      <w:pPr>
        <w:ind w:left="8848" w:hanging="216"/>
      </w:pPr>
      <w:rPr>
        <w:rFonts w:hint="default"/>
      </w:rPr>
    </w:lvl>
  </w:abstractNum>
  <w:abstractNum w:abstractNumId="7"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592642"/>
    <w:multiLevelType w:val="multilevel"/>
    <w:tmpl w:val="E512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A40035C"/>
    <w:multiLevelType w:val="hybridMultilevel"/>
    <w:tmpl w:val="6CCC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8E31CAB"/>
    <w:multiLevelType w:val="hybridMultilevel"/>
    <w:tmpl w:val="D5105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B3C2C46"/>
    <w:multiLevelType w:val="multilevel"/>
    <w:tmpl w:val="4D24DE4A"/>
    <w:lvl w:ilvl="0">
      <w:start w:val="1"/>
      <w:numFmt w:val="decimal"/>
      <w:lvlText w:val="%1."/>
      <w:lvlJc w:val="left"/>
      <w:pPr>
        <w:ind w:left="232" w:hanging="216"/>
      </w:pPr>
      <w:rPr>
        <w:rFonts w:ascii="Calibri" w:eastAsia="Calibri" w:hAnsi="Calibri" w:cs="Calibri"/>
        <w:sz w:val="22"/>
        <w:szCs w:val="22"/>
      </w:rPr>
    </w:lvl>
    <w:lvl w:ilvl="1">
      <w:numFmt w:val="bullet"/>
      <w:lvlText w:val="•"/>
      <w:lvlJc w:val="left"/>
      <w:pPr>
        <w:ind w:left="1316" w:hanging="216"/>
      </w:pPr>
    </w:lvl>
    <w:lvl w:ilvl="2">
      <w:numFmt w:val="bullet"/>
      <w:lvlText w:val="•"/>
      <w:lvlJc w:val="left"/>
      <w:pPr>
        <w:ind w:left="2392" w:hanging="216"/>
      </w:pPr>
    </w:lvl>
    <w:lvl w:ilvl="3">
      <w:numFmt w:val="bullet"/>
      <w:lvlText w:val="•"/>
      <w:lvlJc w:val="left"/>
      <w:pPr>
        <w:ind w:left="3468" w:hanging="216"/>
      </w:pPr>
    </w:lvl>
    <w:lvl w:ilvl="4">
      <w:numFmt w:val="bullet"/>
      <w:lvlText w:val="•"/>
      <w:lvlJc w:val="left"/>
      <w:pPr>
        <w:ind w:left="4544" w:hanging="216"/>
      </w:pPr>
    </w:lvl>
    <w:lvl w:ilvl="5">
      <w:numFmt w:val="bullet"/>
      <w:lvlText w:val="•"/>
      <w:lvlJc w:val="left"/>
      <w:pPr>
        <w:ind w:left="5620" w:hanging="216"/>
      </w:pPr>
    </w:lvl>
    <w:lvl w:ilvl="6">
      <w:numFmt w:val="bullet"/>
      <w:lvlText w:val="•"/>
      <w:lvlJc w:val="left"/>
      <w:pPr>
        <w:ind w:left="6696" w:hanging="216"/>
      </w:pPr>
    </w:lvl>
    <w:lvl w:ilvl="7">
      <w:numFmt w:val="bullet"/>
      <w:lvlText w:val="•"/>
      <w:lvlJc w:val="left"/>
      <w:pPr>
        <w:ind w:left="7772" w:hanging="216"/>
      </w:pPr>
    </w:lvl>
    <w:lvl w:ilvl="8">
      <w:numFmt w:val="bullet"/>
      <w:lvlText w:val="•"/>
      <w:lvlJc w:val="left"/>
      <w:pPr>
        <w:ind w:left="8848" w:hanging="216"/>
      </w:pPr>
    </w:lvl>
  </w:abstractNum>
  <w:abstractNum w:abstractNumId="24" w15:restartNumberingAfterBreak="0">
    <w:nsid w:val="795C0514"/>
    <w:multiLevelType w:val="hybridMultilevel"/>
    <w:tmpl w:val="E4C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85979571">
    <w:abstractNumId w:val="15"/>
  </w:num>
  <w:num w:numId="2" w16cid:durableId="697896157">
    <w:abstractNumId w:val="11"/>
  </w:num>
  <w:num w:numId="3" w16cid:durableId="2056080564">
    <w:abstractNumId w:val="12"/>
  </w:num>
  <w:num w:numId="4" w16cid:durableId="602997253">
    <w:abstractNumId w:val="22"/>
  </w:num>
  <w:num w:numId="5" w16cid:durableId="228460729">
    <w:abstractNumId w:val="18"/>
  </w:num>
  <w:num w:numId="6" w16cid:durableId="1312246069">
    <w:abstractNumId w:val="5"/>
  </w:num>
  <w:num w:numId="7" w16cid:durableId="230238782">
    <w:abstractNumId w:val="19"/>
  </w:num>
  <w:num w:numId="8" w16cid:durableId="1367022585">
    <w:abstractNumId w:val="7"/>
  </w:num>
  <w:num w:numId="9" w16cid:durableId="1963804782">
    <w:abstractNumId w:val="4"/>
  </w:num>
  <w:num w:numId="10" w16cid:durableId="863054650">
    <w:abstractNumId w:val="10"/>
  </w:num>
  <w:num w:numId="11" w16cid:durableId="1395933181">
    <w:abstractNumId w:val="20"/>
  </w:num>
  <w:num w:numId="12" w16cid:durableId="927424092">
    <w:abstractNumId w:val="3"/>
  </w:num>
  <w:num w:numId="13" w16cid:durableId="1042906856">
    <w:abstractNumId w:val="0"/>
  </w:num>
  <w:num w:numId="14" w16cid:durableId="2110655034">
    <w:abstractNumId w:val="13"/>
  </w:num>
  <w:num w:numId="15" w16cid:durableId="1494639867">
    <w:abstractNumId w:val="1"/>
  </w:num>
  <w:num w:numId="16" w16cid:durableId="2121030140">
    <w:abstractNumId w:val="16"/>
  </w:num>
  <w:num w:numId="17" w16cid:durableId="1203011467">
    <w:abstractNumId w:val="9"/>
  </w:num>
  <w:num w:numId="18" w16cid:durableId="871191193">
    <w:abstractNumId w:val="25"/>
  </w:num>
  <w:num w:numId="19" w16cid:durableId="1068844867">
    <w:abstractNumId w:val="8"/>
  </w:num>
  <w:num w:numId="20" w16cid:durableId="1173715997">
    <w:abstractNumId w:val="17"/>
  </w:num>
  <w:num w:numId="21" w16cid:durableId="694189795">
    <w:abstractNumId w:val="21"/>
  </w:num>
  <w:num w:numId="22" w16cid:durableId="210848563">
    <w:abstractNumId w:val="24"/>
  </w:num>
  <w:num w:numId="23" w16cid:durableId="616569930">
    <w:abstractNumId w:val="6"/>
  </w:num>
  <w:num w:numId="24" w16cid:durableId="1460029979">
    <w:abstractNumId w:val="23"/>
  </w:num>
  <w:num w:numId="25" w16cid:durableId="1631785020">
    <w:abstractNumId w:val="14"/>
  </w:num>
  <w:num w:numId="26" w16cid:durableId="97290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E"/>
    <w:rsid w:val="000032C2"/>
    <w:rsid w:val="000076D7"/>
    <w:rsid w:val="00010B42"/>
    <w:rsid w:val="00011BF3"/>
    <w:rsid w:val="00012DA2"/>
    <w:rsid w:val="00015E34"/>
    <w:rsid w:val="00017C0D"/>
    <w:rsid w:val="00020185"/>
    <w:rsid w:val="00036406"/>
    <w:rsid w:val="00040272"/>
    <w:rsid w:val="000410E7"/>
    <w:rsid w:val="000413CF"/>
    <w:rsid w:val="000419FF"/>
    <w:rsid w:val="00042AE9"/>
    <w:rsid w:val="0005190B"/>
    <w:rsid w:val="00053538"/>
    <w:rsid w:val="0005503F"/>
    <w:rsid w:val="00056BFE"/>
    <w:rsid w:val="00061A86"/>
    <w:rsid w:val="00062C37"/>
    <w:rsid w:val="00065F68"/>
    <w:rsid w:val="00071A24"/>
    <w:rsid w:val="00071BB9"/>
    <w:rsid w:val="000762BF"/>
    <w:rsid w:val="00076676"/>
    <w:rsid w:val="00080ED9"/>
    <w:rsid w:val="000810C6"/>
    <w:rsid w:val="00087BA7"/>
    <w:rsid w:val="00090059"/>
    <w:rsid w:val="00092BEF"/>
    <w:rsid w:val="00097F96"/>
    <w:rsid w:val="000A2236"/>
    <w:rsid w:val="000A2FAF"/>
    <w:rsid w:val="000A3F62"/>
    <w:rsid w:val="000A4719"/>
    <w:rsid w:val="000A4D76"/>
    <w:rsid w:val="000A51B4"/>
    <w:rsid w:val="000C7356"/>
    <w:rsid w:val="000D3EE2"/>
    <w:rsid w:val="000D4154"/>
    <w:rsid w:val="000D4411"/>
    <w:rsid w:val="000D78BA"/>
    <w:rsid w:val="000E063D"/>
    <w:rsid w:val="000E370C"/>
    <w:rsid w:val="000E4451"/>
    <w:rsid w:val="000E574D"/>
    <w:rsid w:val="000F0110"/>
    <w:rsid w:val="000F0BAC"/>
    <w:rsid w:val="001008FB"/>
    <w:rsid w:val="001046E4"/>
    <w:rsid w:val="0010541B"/>
    <w:rsid w:val="00105824"/>
    <w:rsid w:val="00106AAA"/>
    <w:rsid w:val="00111091"/>
    <w:rsid w:val="001150A6"/>
    <w:rsid w:val="0011606E"/>
    <w:rsid w:val="00120DC1"/>
    <w:rsid w:val="001222A1"/>
    <w:rsid w:val="001245A6"/>
    <w:rsid w:val="00132BB4"/>
    <w:rsid w:val="00133687"/>
    <w:rsid w:val="00134BB6"/>
    <w:rsid w:val="0013566B"/>
    <w:rsid w:val="00136BEC"/>
    <w:rsid w:val="00141360"/>
    <w:rsid w:val="00141801"/>
    <w:rsid w:val="001434CF"/>
    <w:rsid w:val="001478E4"/>
    <w:rsid w:val="00157251"/>
    <w:rsid w:val="00157AB2"/>
    <w:rsid w:val="00160F30"/>
    <w:rsid w:val="00162336"/>
    <w:rsid w:val="001663F2"/>
    <w:rsid w:val="001677DD"/>
    <w:rsid w:val="00171C70"/>
    <w:rsid w:val="00174C41"/>
    <w:rsid w:val="00175F08"/>
    <w:rsid w:val="001777DF"/>
    <w:rsid w:val="00177CF7"/>
    <w:rsid w:val="00184492"/>
    <w:rsid w:val="00191838"/>
    <w:rsid w:val="00194420"/>
    <w:rsid w:val="001A3B4A"/>
    <w:rsid w:val="001A5186"/>
    <w:rsid w:val="001A6830"/>
    <w:rsid w:val="001B3F58"/>
    <w:rsid w:val="001B4B6E"/>
    <w:rsid w:val="001B5C69"/>
    <w:rsid w:val="001B6D77"/>
    <w:rsid w:val="001C524D"/>
    <w:rsid w:val="001D0AA8"/>
    <w:rsid w:val="001D1E8B"/>
    <w:rsid w:val="001D3556"/>
    <w:rsid w:val="001D4B25"/>
    <w:rsid w:val="001D544B"/>
    <w:rsid w:val="001D735A"/>
    <w:rsid w:val="001E12B2"/>
    <w:rsid w:val="001E13CA"/>
    <w:rsid w:val="001F04F8"/>
    <w:rsid w:val="001F0E5E"/>
    <w:rsid w:val="001F1395"/>
    <w:rsid w:val="001F5619"/>
    <w:rsid w:val="0020020C"/>
    <w:rsid w:val="00204583"/>
    <w:rsid w:val="002049F2"/>
    <w:rsid w:val="002112CE"/>
    <w:rsid w:val="00212D9F"/>
    <w:rsid w:val="00213D1C"/>
    <w:rsid w:val="00213E9C"/>
    <w:rsid w:val="00223D3F"/>
    <w:rsid w:val="002245E1"/>
    <w:rsid w:val="002318FC"/>
    <w:rsid w:val="00232984"/>
    <w:rsid w:val="00240323"/>
    <w:rsid w:val="00242E6B"/>
    <w:rsid w:val="0024329C"/>
    <w:rsid w:val="00243C66"/>
    <w:rsid w:val="002462BC"/>
    <w:rsid w:val="002469C9"/>
    <w:rsid w:val="0024757D"/>
    <w:rsid w:val="00250D03"/>
    <w:rsid w:val="00253D45"/>
    <w:rsid w:val="00257862"/>
    <w:rsid w:val="00264B93"/>
    <w:rsid w:val="002704A7"/>
    <w:rsid w:val="00271411"/>
    <w:rsid w:val="00276F35"/>
    <w:rsid w:val="00280A26"/>
    <w:rsid w:val="00281F6E"/>
    <w:rsid w:val="00286F5B"/>
    <w:rsid w:val="002910A1"/>
    <w:rsid w:val="00291756"/>
    <w:rsid w:val="002A1AB2"/>
    <w:rsid w:val="002A3767"/>
    <w:rsid w:val="002A52F4"/>
    <w:rsid w:val="002A6340"/>
    <w:rsid w:val="002B02EA"/>
    <w:rsid w:val="002B4B25"/>
    <w:rsid w:val="002B4E45"/>
    <w:rsid w:val="002C1A58"/>
    <w:rsid w:val="002C1F73"/>
    <w:rsid w:val="002C5384"/>
    <w:rsid w:val="002D3639"/>
    <w:rsid w:val="002D4659"/>
    <w:rsid w:val="002D491F"/>
    <w:rsid w:val="002E28F6"/>
    <w:rsid w:val="002E455E"/>
    <w:rsid w:val="002E45A4"/>
    <w:rsid w:val="002F43A4"/>
    <w:rsid w:val="002F4624"/>
    <w:rsid w:val="002F58A0"/>
    <w:rsid w:val="002F5A1B"/>
    <w:rsid w:val="00301020"/>
    <w:rsid w:val="00304E1B"/>
    <w:rsid w:val="00306CB6"/>
    <w:rsid w:val="00311100"/>
    <w:rsid w:val="00312144"/>
    <w:rsid w:val="003137F5"/>
    <w:rsid w:val="00315F43"/>
    <w:rsid w:val="00316339"/>
    <w:rsid w:val="00317BC5"/>
    <w:rsid w:val="003214E4"/>
    <w:rsid w:val="00325CEA"/>
    <w:rsid w:val="003308B1"/>
    <w:rsid w:val="00331531"/>
    <w:rsid w:val="003316F9"/>
    <w:rsid w:val="003371DA"/>
    <w:rsid w:val="00340A30"/>
    <w:rsid w:val="00345FB4"/>
    <w:rsid w:val="003463C7"/>
    <w:rsid w:val="003500EC"/>
    <w:rsid w:val="0035276C"/>
    <w:rsid w:val="00361697"/>
    <w:rsid w:val="00362585"/>
    <w:rsid w:val="00367263"/>
    <w:rsid w:val="00371D28"/>
    <w:rsid w:val="00372175"/>
    <w:rsid w:val="003747DE"/>
    <w:rsid w:val="0037774D"/>
    <w:rsid w:val="00377C7F"/>
    <w:rsid w:val="003800E1"/>
    <w:rsid w:val="00384DC5"/>
    <w:rsid w:val="00393E2E"/>
    <w:rsid w:val="00394414"/>
    <w:rsid w:val="00396941"/>
    <w:rsid w:val="0039788F"/>
    <w:rsid w:val="003A0AE7"/>
    <w:rsid w:val="003A236C"/>
    <w:rsid w:val="003A4437"/>
    <w:rsid w:val="003B35CE"/>
    <w:rsid w:val="003B7909"/>
    <w:rsid w:val="003C1278"/>
    <w:rsid w:val="003C3D27"/>
    <w:rsid w:val="003C4019"/>
    <w:rsid w:val="003C7D70"/>
    <w:rsid w:val="003D333E"/>
    <w:rsid w:val="003D3746"/>
    <w:rsid w:val="003E2FB3"/>
    <w:rsid w:val="003E65E4"/>
    <w:rsid w:val="003E6864"/>
    <w:rsid w:val="003E7C6C"/>
    <w:rsid w:val="003F180F"/>
    <w:rsid w:val="00400C87"/>
    <w:rsid w:val="00403CFF"/>
    <w:rsid w:val="004048F0"/>
    <w:rsid w:val="00406BC8"/>
    <w:rsid w:val="00406BD5"/>
    <w:rsid w:val="0041556E"/>
    <w:rsid w:val="004207CA"/>
    <w:rsid w:val="00423320"/>
    <w:rsid w:val="00424751"/>
    <w:rsid w:val="0042556E"/>
    <w:rsid w:val="0042730A"/>
    <w:rsid w:val="004358AF"/>
    <w:rsid w:val="004366FE"/>
    <w:rsid w:val="00437461"/>
    <w:rsid w:val="0044032B"/>
    <w:rsid w:val="004413CD"/>
    <w:rsid w:val="00444A48"/>
    <w:rsid w:val="00447284"/>
    <w:rsid w:val="00452338"/>
    <w:rsid w:val="004542FF"/>
    <w:rsid w:val="004567E7"/>
    <w:rsid w:val="00465621"/>
    <w:rsid w:val="00474F40"/>
    <w:rsid w:val="00481499"/>
    <w:rsid w:val="00482448"/>
    <w:rsid w:val="00483697"/>
    <w:rsid w:val="004914E5"/>
    <w:rsid w:val="00491FF9"/>
    <w:rsid w:val="00494236"/>
    <w:rsid w:val="0049766A"/>
    <w:rsid w:val="004A1400"/>
    <w:rsid w:val="004A1F5A"/>
    <w:rsid w:val="004B328B"/>
    <w:rsid w:val="004C5011"/>
    <w:rsid w:val="004C5673"/>
    <w:rsid w:val="004C61EF"/>
    <w:rsid w:val="004C72FA"/>
    <w:rsid w:val="004D1943"/>
    <w:rsid w:val="004D19BB"/>
    <w:rsid w:val="004D2DFB"/>
    <w:rsid w:val="004D5C7F"/>
    <w:rsid w:val="004E25DB"/>
    <w:rsid w:val="004E4721"/>
    <w:rsid w:val="004E5441"/>
    <w:rsid w:val="004F55D2"/>
    <w:rsid w:val="0050115F"/>
    <w:rsid w:val="005013BC"/>
    <w:rsid w:val="00501BC4"/>
    <w:rsid w:val="0050278F"/>
    <w:rsid w:val="00503FF9"/>
    <w:rsid w:val="0050777F"/>
    <w:rsid w:val="00507A13"/>
    <w:rsid w:val="005112D9"/>
    <w:rsid w:val="0052217E"/>
    <w:rsid w:val="00525629"/>
    <w:rsid w:val="00525DD9"/>
    <w:rsid w:val="0053210C"/>
    <w:rsid w:val="00535DBF"/>
    <w:rsid w:val="00537206"/>
    <w:rsid w:val="00540F75"/>
    <w:rsid w:val="00542DDA"/>
    <w:rsid w:val="00547B4B"/>
    <w:rsid w:val="00553482"/>
    <w:rsid w:val="00557348"/>
    <w:rsid w:val="0056045B"/>
    <w:rsid w:val="00563E4B"/>
    <w:rsid w:val="005765F3"/>
    <w:rsid w:val="00583F18"/>
    <w:rsid w:val="005862C8"/>
    <w:rsid w:val="00595094"/>
    <w:rsid w:val="005958BF"/>
    <w:rsid w:val="00595E6D"/>
    <w:rsid w:val="005B2DE7"/>
    <w:rsid w:val="005B455A"/>
    <w:rsid w:val="005D07C6"/>
    <w:rsid w:val="005D54B3"/>
    <w:rsid w:val="005D7A1B"/>
    <w:rsid w:val="005E06F4"/>
    <w:rsid w:val="005E14F5"/>
    <w:rsid w:val="005E28A2"/>
    <w:rsid w:val="005E6B86"/>
    <w:rsid w:val="005F02B9"/>
    <w:rsid w:val="005F2596"/>
    <w:rsid w:val="005F4726"/>
    <w:rsid w:val="005F4912"/>
    <w:rsid w:val="00600302"/>
    <w:rsid w:val="00601003"/>
    <w:rsid w:val="00601AC7"/>
    <w:rsid w:val="006023DE"/>
    <w:rsid w:val="006076C3"/>
    <w:rsid w:val="006079D2"/>
    <w:rsid w:val="00616126"/>
    <w:rsid w:val="00622134"/>
    <w:rsid w:val="00642854"/>
    <w:rsid w:val="00642F92"/>
    <w:rsid w:val="00650D88"/>
    <w:rsid w:val="00652A05"/>
    <w:rsid w:val="00654AD1"/>
    <w:rsid w:val="00655F9D"/>
    <w:rsid w:val="00656745"/>
    <w:rsid w:val="00657B15"/>
    <w:rsid w:val="00664568"/>
    <w:rsid w:val="00665B7A"/>
    <w:rsid w:val="00666CF1"/>
    <w:rsid w:val="00671FF2"/>
    <w:rsid w:val="0067491F"/>
    <w:rsid w:val="00674956"/>
    <w:rsid w:val="00675F09"/>
    <w:rsid w:val="00682A94"/>
    <w:rsid w:val="00684173"/>
    <w:rsid w:val="00684591"/>
    <w:rsid w:val="006851FA"/>
    <w:rsid w:val="00685769"/>
    <w:rsid w:val="00693F00"/>
    <w:rsid w:val="00694A3B"/>
    <w:rsid w:val="006952E6"/>
    <w:rsid w:val="00697D82"/>
    <w:rsid w:val="0069C23C"/>
    <w:rsid w:val="006A051B"/>
    <w:rsid w:val="006A289C"/>
    <w:rsid w:val="006A392B"/>
    <w:rsid w:val="006A39A8"/>
    <w:rsid w:val="006B2BCC"/>
    <w:rsid w:val="006B3852"/>
    <w:rsid w:val="006B4A0D"/>
    <w:rsid w:val="006B4F40"/>
    <w:rsid w:val="006C26DE"/>
    <w:rsid w:val="006C6DBC"/>
    <w:rsid w:val="006D269B"/>
    <w:rsid w:val="006D46D7"/>
    <w:rsid w:val="006E22D7"/>
    <w:rsid w:val="006E44CA"/>
    <w:rsid w:val="006E50C7"/>
    <w:rsid w:val="006E797E"/>
    <w:rsid w:val="006F310A"/>
    <w:rsid w:val="006F3AD6"/>
    <w:rsid w:val="006F71AA"/>
    <w:rsid w:val="00701F58"/>
    <w:rsid w:val="00707900"/>
    <w:rsid w:val="00710AD8"/>
    <w:rsid w:val="00713576"/>
    <w:rsid w:val="00715013"/>
    <w:rsid w:val="00721CCA"/>
    <w:rsid w:val="007328BC"/>
    <w:rsid w:val="00737FE7"/>
    <w:rsid w:val="007467D3"/>
    <w:rsid w:val="00752A7C"/>
    <w:rsid w:val="0075382B"/>
    <w:rsid w:val="0075684B"/>
    <w:rsid w:val="00757E4E"/>
    <w:rsid w:val="0076221D"/>
    <w:rsid w:val="00764866"/>
    <w:rsid w:val="00770EE3"/>
    <w:rsid w:val="0077346A"/>
    <w:rsid w:val="007753E3"/>
    <w:rsid w:val="007754B5"/>
    <w:rsid w:val="007858A6"/>
    <w:rsid w:val="007874A0"/>
    <w:rsid w:val="00787BE1"/>
    <w:rsid w:val="00787E59"/>
    <w:rsid w:val="00790798"/>
    <w:rsid w:val="00790B28"/>
    <w:rsid w:val="00790EAB"/>
    <w:rsid w:val="007A34ED"/>
    <w:rsid w:val="007A5FE0"/>
    <w:rsid w:val="007B0697"/>
    <w:rsid w:val="007B19BB"/>
    <w:rsid w:val="007B37BF"/>
    <w:rsid w:val="007B44E4"/>
    <w:rsid w:val="007B6A7D"/>
    <w:rsid w:val="007C00C9"/>
    <w:rsid w:val="007C44AE"/>
    <w:rsid w:val="007C591A"/>
    <w:rsid w:val="007D0746"/>
    <w:rsid w:val="007D1202"/>
    <w:rsid w:val="007D3EEC"/>
    <w:rsid w:val="007D4D8B"/>
    <w:rsid w:val="007E29FF"/>
    <w:rsid w:val="007E376D"/>
    <w:rsid w:val="007E73F2"/>
    <w:rsid w:val="007F3FF1"/>
    <w:rsid w:val="007F5297"/>
    <w:rsid w:val="007F6234"/>
    <w:rsid w:val="00803886"/>
    <w:rsid w:val="008065A5"/>
    <w:rsid w:val="00807DB8"/>
    <w:rsid w:val="00822D02"/>
    <w:rsid w:val="0082419E"/>
    <w:rsid w:val="00824466"/>
    <w:rsid w:val="008250F1"/>
    <w:rsid w:val="00830B3D"/>
    <w:rsid w:val="00831657"/>
    <w:rsid w:val="00835210"/>
    <w:rsid w:val="00843061"/>
    <w:rsid w:val="00845FC9"/>
    <w:rsid w:val="00846F62"/>
    <w:rsid w:val="00850B44"/>
    <w:rsid w:val="00851516"/>
    <w:rsid w:val="0085212A"/>
    <w:rsid w:val="008609A9"/>
    <w:rsid w:val="00860A7D"/>
    <w:rsid w:val="00872B74"/>
    <w:rsid w:val="00874A06"/>
    <w:rsid w:val="00876A76"/>
    <w:rsid w:val="00882337"/>
    <w:rsid w:val="00887A7E"/>
    <w:rsid w:val="00887AA2"/>
    <w:rsid w:val="00887F40"/>
    <w:rsid w:val="00891842"/>
    <w:rsid w:val="00893764"/>
    <w:rsid w:val="008A09D0"/>
    <w:rsid w:val="008A64DF"/>
    <w:rsid w:val="008B1029"/>
    <w:rsid w:val="008B5C21"/>
    <w:rsid w:val="008C044D"/>
    <w:rsid w:val="008C2F39"/>
    <w:rsid w:val="008C409B"/>
    <w:rsid w:val="008C4A18"/>
    <w:rsid w:val="008C5567"/>
    <w:rsid w:val="008D0091"/>
    <w:rsid w:val="008D1D24"/>
    <w:rsid w:val="008D2134"/>
    <w:rsid w:val="008D2D0E"/>
    <w:rsid w:val="008D4B0E"/>
    <w:rsid w:val="008D6427"/>
    <w:rsid w:val="008D7D05"/>
    <w:rsid w:val="008E10B8"/>
    <w:rsid w:val="008E4490"/>
    <w:rsid w:val="008E4827"/>
    <w:rsid w:val="008E62FA"/>
    <w:rsid w:val="008F0440"/>
    <w:rsid w:val="008F3FFE"/>
    <w:rsid w:val="008F5297"/>
    <w:rsid w:val="00903852"/>
    <w:rsid w:val="009049D7"/>
    <w:rsid w:val="00904E14"/>
    <w:rsid w:val="0090594D"/>
    <w:rsid w:val="009108FB"/>
    <w:rsid w:val="00911B64"/>
    <w:rsid w:val="00927F76"/>
    <w:rsid w:val="00927FA1"/>
    <w:rsid w:val="009363DC"/>
    <w:rsid w:val="009400A7"/>
    <w:rsid w:val="00940114"/>
    <w:rsid w:val="00941DE1"/>
    <w:rsid w:val="009502D1"/>
    <w:rsid w:val="00961B04"/>
    <w:rsid w:val="00962792"/>
    <w:rsid w:val="00965C69"/>
    <w:rsid w:val="00974FE3"/>
    <w:rsid w:val="00981C52"/>
    <w:rsid w:val="0098460C"/>
    <w:rsid w:val="00984F81"/>
    <w:rsid w:val="0098705A"/>
    <w:rsid w:val="00992089"/>
    <w:rsid w:val="009B146B"/>
    <w:rsid w:val="009B1B4E"/>
    <w:rsid w:val="009B2231"/>
    <w:rsid w:val="009B2560"/>
    <w:rsid w:val="009B2F88"/>
    <w:rsid w:val="009B7E4C"/>
    <w:rsid w:val="009C0DA2"/>
    <w:rsid w:val="009C52B7"/>
    <w:rsid w:val="009C5750"/>
    <w:rsid w:val="009C5B61"/>
    <w:rsid w:val="009C6203"/>
    <w:rsid w:val="009C6AB7"/>
    <w:rsid w:val="009C6C35"/>
    <w:rsid w:val="009C75AE"/>
    <w:rsid w:val="009D67B9"/>
    <w:rsid w:val="009D6DC9"/>
    <w:rsid w:val="009E2588"/>
    <w:rsid w:val="009E2842"/>
    <w:rsid w:val="009E454C"/>
    <w:rsid w:val="009E6FA6"/>
    <w:rsid w:val="009E77B8"/>
    <w:rsid w:val="009F1A49"/>
    <w:rsid w:val="00A00530"/>
    <w:rsid w:val="00A03F15"/>
    <w:rsid w:val="00A11B5F"/>
    <w:rsid w:val="00A13DFD"/>
    <w:rsid w:val="00A14633"/>
    <w:rsid w:val="00A16DEA"/>
    <w:rsid w:val="00A1772B"/>
    <w:rsid w:val="00A23115"/>
    <w:rsid w:val="00A2427B"/>
    <w:rsid w:val="00A305B0"/>
    <w:rsid w:val="00A308D3"/>
    <w:rsid w:val="00A319FE"/>
    <w:rsid w:val="00A44113"/>
    <w:rsid w:val="00A445CC"/>
    <w:rsid w:val="00A51993"/>
    <w:rsid w:val="00A529BD"/>
    <w:rsid w:val="00A601E0"/>
    <w:rsid w:val="00A60A59"/>
    <w:rsid w:val="00A666D5"/>
    <w:rsid w:val="00A76363"/>
    <w:rsid w:val="00A76DF5"/>
    <w:rsid w:val="00A81AB9"/>
    <w:rsid w:val="00A87F95"/>
    <w:rsid w:val="00A93D5C"/>
    <w:rsid w:val="00A95192"/>
    <w:rsid w:val="00AA0DDF"/>
    <w:rsid w:val="00AA1FE0"/>
    <w:rsid w:val="00AA285F"/>
    <w:rsid w:val="00AA3C13"/>
    <w:rsid w:val="00AA3E28"/>
    <w:rsid w:val="00AA7DA6"/>
    <w:rsid w:val="00AB0FB9"/>
    <w:rsid w:val="00AB35E7"/>
    <w:rsid w:val="00AB41A2"/>
    <w:rsid w:val="00AB54BC"/>
    <w:rsid w:val="00AB6152"/>
    <w:rsid w:val="00AC0E0D"/>
    <w:rsid w:val="00AC1D49"/>
    <w:rsid w:val="00AC2F98"/>
    <w:rsid w:val="00AD3776"/>
    <w:rsid w:val="00AD69FF"/>
    <w:rsid w:val="00AD71DB"/>
    <w:rsid w:val="00AE1A33"/>
    <w:rsid w:val="00AE4589"/>
    <w:rsid w:val="00AE55F5"/>
    <w:rsid w:val="00AE76C1"/>
    <w:rsid w:val="00AF075A"/>
    <w:rsid w:val="00AF1083"/>
    <w:rsid w:val="00AF19AF"/>
    <w:rsid w:val="00AF2967"/>
    <w:rsid w:val="00AF3147"/>
    <w:rsid w:val="00AF71AA"/>
    <w:rsid w:val="00B003FE"/>
    <w:rsid w:val="00B01220"/>
    <w:rsid w:val="00B03ECC"/>
    <w:rsid w:val="00B046F3"/>
    <w:rsid w:val="00B04A0B"/>
    <w:rsid w:val="00B04F62"/>
    <w:rsid w:val="00B10804"/>
    <w:rsid w:val="00B11F2A"/>
    <w:rsid w:val="00B12692"/>
    <w:rsid w:val="00B22B32"/>
    <w:rsid w:val="00B2346B"/>
    <w:rsid w:val="00B25ADB"/>
    <w:rsid w:val="00B25B2B"/>
    <w:rsid w:val="00B26198"/>
    <w:rsid w:val="00B2701D"/>
    <w:rsid w:val="00B277C8"/>
    <w:rsid w:val="00B3427E"/>
    <w:rsid w:val="00B35705"/>
    <w:rsid w:val="00B37F47"/>
    <w:rsid w:val="00B41DF2"/>
    <w:rsid w:val="00B535DA"/>
    <w:rsid w:val="00B550D1"/>
    <w:rsid w:val="00B55683"/>
    <w:rsid w:val="00B55C35"/>
    <w:rsid w:val="00B604D1"/>
    <w:rsid w:val="00B61C52"/>
    <w:rsid w:val="00B63EF0"/>
    <w:rsid w:val="00B64F08"/>
    <w:rsid w:val="00B75018"/>
    <w:rsid w:val="00B75A59"/>
    <w:rsid w:val="00B82B3D"/>
    <w:rsid w:val="00B82F9F"/>
    <w:rsid w:val="00B83432"/>
    <w:rsid w:val="00B90252"/>
    <w:rsid w:val="00B94A3D"/>
    <w:rsid w:val="00BA1447"/>
    <w:rsid w:val="00BA4027"/>
    <w:rsid w:val="00BA48C2"/>
    <w:rsid w:val="00BA579D"/>
    <w:rsid w:val="00BB3EDB"/>
    <w:rsid w:val="00BC17A4"/>
    <w:rsid w:val="00BC31FD"/>
    <w:rsid w:val="00BC64E6"/>
    <w:rsid w:val="00BD264C"/>
    <w:rsid w:val="00BD29C2"/>
    <w:rsid w:val="00BD380E"/>
    <w:rsid w:val="00BD5FB2"/>
    <w:rsid w:val="00BE192F"/>
    <w:rsid w:val="00BE4534"/>
    <w:rsid w:val="00BE4D86"/>
    <w:rsid w:val="00BE504D"/>
    <w:rsid w:val="00BE7972"/>
    <w:rsid w:val="00BF27F3"/>
    <w:rsid w:val="00BF3AB3"/>
    <w:rsid w:val="00BF48FD"/>
    <w:rsid w:val="00BF52CF"/>
    <w:rsid w:val="00BF7FEC"/>
    <w:rsid w:val="00C067BF"/>
    <w:rsid w:val="00C06E23"/>
    <w:rsid w:val="00C12126"/>
    <w:rsid w:val="00C1590F"/>
    <w:rsid w:val="00C23D67"/>
    <w:rsid w:val="00C300CD"/>
    <w:rsid w:val="00C34506"/>
    <w:rsid w:val="00C50C68"/>
    <w:rsid w:val="00C567D8"/>
    <w:rsid w:val="00C61CBD"/>
    <w:rsid w:val="00C6486B"/>
    <w:rsid w:val="00C65A47"/>
    <w:rsid w:val="00C74F93"/>
    <w:rsid w:val="00C7577A"/>
    <w:rsid w:val="00C762EB"/>
    <w:rsid w:val="00C82106"/>
    <w:rsid w:val="00C854D2"/>
    <w:rsid w:val="00C8622C"/>
    <w:rsid w:val="00CA302E"/>
    <w:rsid w:val="00CA3F58"/>
    <w:rsid w:val="00CC15B1"/>
    <w:rsid w:val="00CC474E"/>
    <w:rsid w:val="00CD16B7"/>
    <w:rsid w:val="00CD3628"/>
    <w:rsid w:val="00CE144C"/>
    <w:rsid w:val="00CE6E33"/>
    <w:rsid w:val="00CF25FB"/>
    <w:rsid w:val="00CF3B61"/>
    <w:rsid w:val="00CF52E2"/>
    <w:rsid w:val="00CF5472"/>
    <w:rsid w:val="00D01B3B"/>
    <w:rsid w:val="00D01C8F"/>
    <w:rsid w:val="00D02484"/>
    <w:rsid w:val="00D05732"/>
    <w:rsid w:val="00D077C1"/>
    <w:rsid w:val="00D10127"/>
    <w:rsid w:val="00D11ACE"/>
    <w:rsid w:val="00D21350"/>
    <w:rsid w:val="00D21A58"/>
    <w:rsid w:val="00D22C9F"/>
    <w:rsid w:val="00D23C71"/>
    <w:rsid w:val="00D269AF"/>
    <w:rsid w:val="00D328E4"/>
    <w:rsid w:val="00D34774"/>
    <w:rsid w:val="00D35D2A"/>
    <w:rsid w:val="00D40D26"/>
    <w:rsid w:val="00D41BC2"/>
    <w:rsid w:val="00D421C8"/>
    <w:rsid w:val="00D461B3"/>
    <w:rsid w:val="00D5137F"/>
    <w:rsid w:val="00D51EAE"/>
    <w:rsid w:val="00D5684F"/>
    <w:rsid w:val="00D56DE3"/>
    <w:rsid w:val="00D65412"/>
    <w:rsid w:val="00D81F73"/>
    <w:rsid w:val="00D84C3B"/>
    <w:rsid w:val="00D8531E"/>
    <w:rsid w:val="00D85613"/>
    <w:rsid w:val="00D86FF0"/>
    <w:rsid w:val="00D892BC"/>
    <w:rsid w:val="00D912BF"/>
    <w:rsid w:val="00D93F35"/>
    <w:rsid w:val="00D949C6"/>
    <w:rsid w:val="00DA2712"/>
    <w:rsid w:val="00DA37FF"/>
    <w:rsid w:val="00DA395B"/>
    <w:rsid w:val="00DA5E45"/>
    <w:rsid w:val="00DA64AB"/>
    <w:rsid w:val="00DA64ED"/>
    <w:rsid w:val="00DB0D17"/>
    <w:rsid w:val="00DB279B"/>
    <w:rsid w:val="00DB712B"/>
    <w:rsid w:val="00DC1A3E"/>
    <w:rsid w:val="00DC4000"/>
    <w:rsid w:val="00DC6EC8"/>
    <w:rsid w:val="00DC7639"/>
    <w:rsid w:val="00DD6D03"/>
    <w:rsid w:val="00DD763B"/>
    <w:rsid w:val="00DE223E"/>
    <w:rsid w:val="00DE3B99"/>
    <w:rsid w:val="00DE5F5B"/>
    <w:rsid w:val="00DE6B0E"/>
    <w:rsid w:val="00DE73AE"/>
    <w:rsid w:val="00DE7B6F"/>
    <w:rsid w:val="00DF0300"/>
    <w:rsid w:val="00DF6505"/>
    <w:rsid w:val="00E10A1E"/>
    <w:rsid w:val="00E135C1"/>
    <w:rsid w:val="00E15585"/>
    <w:rsid w:val="00E32999"/>
    <w:rsid w:val="00E32C77"/>
    <w:rsid w:val="00E346BA"/>
    <w:rsid w:val="00E36B68"/>
    <w:rsid w:val="00E378C1"/>
    <w:rsid w:val="00E432D8"/>
    <w:rsid w:val="00E46EB1"/>
    <w:rsid w:val="00E519A8"/>
    <w:rsid w:val="00E5271D"/>
    <w:rsid w:val="00E612F4"/>
    <w:rsid w:val="00E61B98"/>
    <w:rsid w:val="00E63222"/>
    <w:rsid w:val="00E634CE"/>
    <w:rsid w:val="00E707BB"/>
    <w:rsid w:val="00E72F5E"/>
    <w:rsid w:val="00E7389A"/>
    <w:rsid w:val="00E73CD4"/>
    <w:rsid w:val="00E84703"/>
    <w:rsid w:val="00E9345A"/>
    <w:rsid w:val="00E979BD"/>
    <w:rsid w:val="00E97C9D"/>
    <w:rsid w:val="00EA007C"/>
    <w:rsid w:val="00EB3944"/>
    <w:rsid w:val="00EB48F9"/>
    <w:rsid w:val="00EB5FA7"/>
    <w:rsid w:val="00EC224F"/>
    <w:rsid w:val="00EC73EC"/>
    <w:rsid w:val="00EC7FE5"/>
    <w:rsid w:val="00EF1F08"/>
    <w:rsid w:val="00EF4EB1"/>
    <w:rsid w:val="00F01E22"/>
    <w:rsid w:val="00F02FB9"/>
    <w:rsid w:val="00F04DEC"/>
    <w:rsid w:val="00F1036D"/>
    <w:rsid w:val="00F11135"/>
    <w:rsid w:val="00F11EB3"/>
    <w:rsid w:val="00F120CA"/>
    <w:rsid w:val="00F1508E"/>
    <w:rsid w:val="00F16816"/>
    <w:rsid w:val="00F204B6"/>
    <w:rsid w:val="00F20F9B"/>
    <w:rsid w:val="00F2377C"/>
    <w:rsid w:val="00F23837"/>
    <w:rsid w:val="00F3049D"/>
    <w:rsid w:val="00F32E86"/>
    <w:rsid w:val="00F360EF"/>
    <w:rsid w:val="00F37AF1"/>
    <w:rsid w:val="00F4150D"/>
    <w:rsid w:val="00F47886"/>
    <w:rsid w:val="00F507F4"/>
    <w:rsid w:val="00F51A8C"/>
    <w:rsid w:val="00F52238"/>
    <w:rsid w:val="00F5447F"/>
    <w:rsid w:val="00F57561"/>
    <w:rsid w:val="00F60838"/>
    <w:rsid w:val="00F63772"/>
    <w:rsid w:val="00F66206"/>
    <w:rsid w:val="00F66766"/>
    <w:rsid w:val="00F71C65"/>
    <w:rsid w:val="00F730CC"/>
    <w:rsid w:val="00F73589"/>
    <w:rsid w:val="00F7372E"/>
    <w:rsid w:val="00F75E95"/>
    <w:rsid w:val="00F76AE2"/>
    <w:rsid w:val="00F77C69"/>
    <w:rsid w:val="00F78646"/>
    <w:rsid w:val="00F85627"/>
    <w:rsid w:val="00F97153"/>
    <w:rsid w:val="00FA26BB"/>
    <w:rsid w:val="00FA28CA"/>
    <w:rsid w:val="00FB4A74"/>
    <w:rsid w:val="00FB5F2D"/>
    <w:rsid w:val="00FB7800"/>
    <w:rsid w:val="00FD2B9B"/>
    <w:rsid w:val="00FD3351"/>
    <w:rsid w:val="00FD5B00"/>
    <w:rsid w:val="00FE0E4F"/>
    <w:rsid w:val="00FE1F29"/>
    <w:rsid w:val="00FE25F5"/>
    <w:rsid w:val="00FE6147"/>
    <w:rsid w:val="00FE7505"/>
    <w:rsid w:val="00FF09DB"/>
    <w:rsid w:val="00FF2813"/>
    <w:rsid w:val="00FF49F0"/>
    <w:rsid w:val="00FF5B06"/>
    <w:rsid w:val="00FF6E2A"/>
    <w:rsid w:val="00FF78FC"/>
    <w:rsid w:val="019CA5E6"/>
    <w:rsid w:val="01AEF7F7"/>
    <w:rsid w:val="01F5F608"/>
    <w:rsid w:val="021FBE7A"/>
    <w:rsid w:val="02212574"/>
    <w:rsid w:val="0268388F"/>
    <w:rsid w:val="0291571F"/>
    <w:rsid w:val="02D79DE3"/>
    <w:rsid w:val="02EFA8E9"/>
    <w:rsid w:val="030CCEB7"/>
    <w:rsid w:val="0312ABE9"/>
    <w:rsid w:val="033D16A1"/>
    <w:rsid w:val="034AC52E"/>
    <w:rsid w:val="03890BA8"/>
    <w:rsid w:val="03D3A636"/>
    <w:rsid w:val="04F8F1FE"/>
    <w:rsid w:val="0510CE05"/>
    <w:rsid w:val="056A8C73"/>
    <w:rsid w:val="05750F18"/>
    <w:rsid w:val="05C8B0EE"/>
    <w:rsid w:val="05DDD314"/>
    <w:rsid w:val="05E159F0"/>
    <w:rsid w:val="0610F5B6"/>
    <w:rsid w:val="06119FA4"/>
    <w:rsid w:val="0633F1AD"/>
    <w:rsid w:val="0636503C"/>
    <w:rsid w:val="0677C1D2"/>
    <w:rsid w:val="07267326"/>
    <w:rsid w:val="0767FA7D"/>
    <w:rsid w:val="0774946B"/>
    <w:rsid w:val="077B2F95"/>
    <w:rsid w:val="07EBCEAB"/>
    <w:rsid w:val="07F716E4"/>
    <w:rsid w:val="0820BF34"/>
    <w:rsid w:val="08C26BFC"/>
    <w:rsid w:val="08C2D889"/>
    <w:rsid w:val="08E1E5B4"/>
    <w:rsid w:val="09487747"/>
    <w:rsid w:val="095225D7"/>
    <w:rsid w:val="09658FFB"/>
    <w:rsid w:val="0967395C"/>
    <w:rsid w:val="0AF97A90"/>
    <w:rsid w:val="0B157979"/>
    <w:rsid w:val="0B242D66"/>
    <w:rsid w:val="0B38F435"/>
    <w:rsid w:val="0B695182"/>
    <w:rsid w:val="0B878BEF"/>
    <w:rsid w:val="0B8E93D0"/>
    <w:rsid w:val="0BAB4D4D"/>
    <w:rsid w:val="0BCBF313"/>
    <w:rsid w:val="0BD046C1"/>
    <w:rsid w:val="0C8EF410"/>
    <w:rsid w:val="0CA195F0"/>
    <w:rsid w:val="0CF2C444"/>
    <w:rsid w:val="0D04D261"/>
    <w:rsid w:val="0D148AE9"/>
    <w:rsid w:val="0D3FC5FA"/>
    <w:rsid w:val="0D4D004C"/>
    <w:rsid w:val="0D843816"/>
    <w:rsid w:val="0DF641DB"/>
    <w:rsid w:val="0E3C0AB1"/>
    <w:rsid w:val="0E3DE343"/>
    <w:rsid w:val="0EFD0847"/>
    <w:rsid w:val="0F3B34AB"/>
    <w:rsid w:val="0F610BAB"/>
    <w:rsid w:val="0F7D0C0C"/>
    <w:rsid w:val="0FC89090"/>
    <w:rsid w:val="1007C58C"/>
    <w:rsid w:val="10234600"/>
    <w:rsid w:val="106608F1"/>
    <w:rsid w:val="107CDD7F"/>
    <w:rsid w:val="10C79403"/>
    <w:rsid w:val="11AF1F54"/>
    <w:rsid w:val="1235AB81"/>
    <w:rsid w:val="124A9E30"/>
    <w:rsid w:val="124E3D3E"/>
    <w:rsid w:val="1289E21D"/>
    <w:rsid w:val="12E6C1D0"/>
    <w:rsid w:val="12FFFB5D"/>
    <w:rsid w:val="131C6A56"/>
    <w:rsid w:val="136F5981"/>
    <w:rsid w:val="137D6857"/>
    <w:rsid w:val="13BD4809"/>
    <w:rsid w:val="13BDE1EA"/>
    <w:rsid w:val="13CB6F20"/>
    <w:rsid w:val="145100CF"/>
    <w:rsid w:val="146C5C09"/>
    <w:rsid w:val="14790F8B"/>
    <w:rsid w:val="150CDF77"/>
    <w:rsid w:val="151477EB"/>
    <w:rsid w:val="1561A83B"/>
    <w:rsid w:val="162A1044"/>
    <w:rsid w:val="16855864"/>
    <w:rsid w:val="168C2908"/>
    <w:rsid w:val="16989603"/>
    <w:rsid w:val="16F359DA"/>
    <w:rsid w:val="17186219"/>
    <w:rsid w:val="1723F100"/>
    <w:rsid w:val="172B8DA7"/>
    <w:rsid w:val="1786DC80"/>
    <w:rsid w:val="18299A92"/>
    <w:rsid w:val="182CFAB0"/>
    <w:rsid w:val="187F48A7"/>
    <w:rsid w:val="189CF362"/>
    <w:rsid w:val="18FE9175"/>
    <w:rsid w:val="19195117"/>
    <w:rsid w:val="19B30A1F"/>
    <w:rsid w:val="1A6F34DD"/>
    <w:rsid w:val="1AC0D59E"/>
    <w:rsid w:val="1AD0A245"/>
    <w:rsid w:val="1BAF4340"/>
    <w:rsid w:val="1C03AE18"/>
    <w:rsid w:val="1C71A1D9"/>
    <w:rsid w:val="1CA94B84"/>
    <w:rsid w:val="1CFE46EC"/>
    <w:rsid w:val="1D6A8C19"/>
    <w:rsid w:val="1D71E98F"/>
    <w:rsid w:val="1D855D09"/>
    <w:rsid w:val="1DA177DC"/>
    <w:rsid w:val="1DA9A606"/>
    <w:rsid w:val="1DE6AFCB"/>
    <w:rsid w:val="1E0215C6"/>
    <w:rsid w:val="1E0D99F0"/>
    <w:rsid w:val="1F91A094"/>
    <w:rsid w:val="1FDFFB5B"/>
    <w:rsid w:val="2014D07B"/>
    <w:rsid w:val="206CB6F7"/>
    <w:rsid w:val="20991736"/>
    <w:rsid w:val="209B1019"/>
    <w:rsid w:val="20B1AFE8"/>
    <w:rsid w:val="20BDD29C"/>
    <w:rsid w:val="20C50113"/>
    <w:rsid w:val="214D898F"/>
    <w:rsid w:val="21556D1E"/>
    <w:rsid w:val="21B71996"/>
    <w:rsid w:val="21F37555"/>
    <w:rsid w:val="220F44F3"/>
    <w:rsid w:val="22119C42"/>
    <w:rsid w:val="221BD432"/>
    <w:rsid w:val="2224EDF1"/>
    <w:rsid w:val="222B5B9C"/>
    <w:rsid w:val="228FE406"/>
    <w:rsid w:val="22BA4377"/>
    <w:rsid w:val="22E527AF"/>
    <w:rsid w:val="230068FC"/>
    <w:rsid w:val="23647E3F"/>
    <w:rsid w:val="23E30C4D"/>
    <w:rsid w:val="242E6B84"/>
    <w:rsid w:val="2448DE7E"/>
    <w:rsid w:val="2478ECE4"/>
    <w:rsid w:val="247A12C0"/>
    <w:rsid w:val="248C4C6E"/>
    <w:rsid w:val="25063472"/>
    <w:rsid w:val="259BC68C"/>
    <w:rsid w:val="25A00CD3"/>
    <w:rsid w:val="25EC5FC0"/>
    <w:rsid w:val="2608A247"/>
    <w:rsid w:val="26253A99"/>
    <w:rsid w:val="2631C505"/>
    <w:rsid w:val="2699B463"/>
    <w:rsid w:val="26C8B1C9"/>
    <w:rsid w:val="26E7B25D"/>
    <w:rsid w:val="27159F96"/>
    <w:rsid w:val="276D434B"/>
    <w:rsid w:val="27A444E7"/>
    <w:rsid w:val="27DC5E03"/>
    <w:rsid w:val="27F3D665"/>
    <w:rsid w:val="288F7A89"/>
    <w:rsid w:val="294AEC97"/>
    <w:rsid w:val="29748950"/>
    <w:rsid w:val="2996D5AA"/>
    <w:rsid w:val="29BC3B58"/>
    <w:rsid w:val="2A417C0A"/>
    <w:rsid w:val="2ABF8766"/>
    <w:rsid w:val="2B4A1CD9"/>
    <w:rsid w:val="2B551708"/>
    <w:rsid w:val="2B7F0A89"/>
    <w:rsid w:val="2BA0D24E"/>
    <w:rsid w:val="2C402647"/>
    <w:rsid w:val="2C60AB40"/>
    <w:rsid w:val="2C9A9422"/>
    <w:rsid w:val="2CAC74A4"/>
    <w:rsid w:val="2CDE37DE"/>
    <w:rsid w:val="2CF7DFF0"/>
    <w:rsid w:val="2CFC6AB4"/>
    <w:rsid w:val="2D002F59"/>
    <w:rsid w:val="2D297774"/>
    <w:rsid w:val="2D45CD11"/>
    <w:rsid w:val="2D834BD9"/>
    <w:rsid w:val="2DC31F24"/>
    <w:rsid w:val="2E149962"/>
    <w:rsid w:val="2E9C7947"/>
    <w:rsid w:val="2EC71FD5"/>
    <w:rsid w:val="2F149F5A"/>
    <w:rsid w:val="2F1FE2C0"/>
    <w:rsid w:val="2F34E29A"/>
    <w:rsid w:val="2FB79163"/>
    <w:rsid w:val="30018A3E"/>
    <w:rsid w:val="302053DD"/>
    <w:rsid w:val="304A19B7"/>
    <w:rsid w:val="30715E08"/>
    <w:rsid w:val="3079D27D"/>
    <w:rsid w:val="30E01999"/>
    <w:rsid w:val="31174844"/>
    <w:rsid w:val="31412CA3"/>
    <w:rsid w:val="322D68D5"/>
    <w:rsid w:val="328154B7"/>
    <w:rsid w:val="329D2EB6"/>
    <w:rsid w:val="32B83688"/>
    <w:rsid w:val="32E657C3"/>
    <w:rsid w:val="3344C16E"/>
    <w:rsid w:val="33676558"/>
    <w:rsid w:val="348689DB"/>
    <w:rsid w:val="34E3EA7B"/>
    <w:rsid w:val="34F7A06D"/>
    <w:rsid w:val="350BED59"/>
    <w:rsid w:val="35A88846"/>
    <w:rsid w:val="35B4D2E5"/>
    <w:rsid w:val="35EDCBA0"/>
    <w:rsid w:val="35FE08D2"/>
    <w:rsid w:val="36422B9A"/>
    <w:rsid w:val="36782E4E"/>
    <w:rsid w:val="3688C83A"/>
    <w:rsid w:val="36B49EE3"/>
    <w:rsid w:val="36D1F739"/>
    <w:rsid w:val="37272254"/>
    <w:rsid w:val="376AE575"/>
    <w:rsid w:val="37882C27"/>
    <w:rsid w:val="38433BF1"/>
    <w:rsid w:val="385A3765"/>
    <w:rsid w:val="386263E7"/>
    <w:rsid w:val="387D2F9A"/>
    <w:rsid w:val="38842113"/>
    <w:rsid w:val="38E15318"/>
    <w:rsid w:val="3987AF74"/>
    <w:rsid w:val="39985D14"/>
    <w:rsid w:val="39D915F6"/>
    <w:rsid w:val="3A845671"/>
    <w:rsid w:val="3AB41C76"/>
    <w:rsid w:val="3AC17664"/>
    <w:rsid w:val="3AF0AA96"/>
    <w:rsid w:val="3B29FC85"/>
    <w:rsid w:val="3B31F17C"/>
    <w:rsid w:val="3B5B690C"/>
    <w:rsid w:val="3B6744DC"/>
    <w:rsid w:val="3B964752"/>
    <w:rsid w:val="3BBABF82"/>
    <w:rsid w:val="3C0852E1"/>
    <w:rsid w:val="3C0AB949"/>
    <w:rsid w:val="3C52A248"/>
    <w:rsid w:val="3C64B266"/>
    <w:rsid w:val="3C70296A"/>
    <w:rsid w:val="3C822703"/>
    <w:rsid w:val="3CD67925"/>
    <w:rsid w:val="3D040FF4"/>
    <w:rsid w:val="3D2AB394"/>
    <w:rsid w:val="3D2AD546"/>
    <w:rsid w:val="3D467867"/>
    <w:rsid w:val="3D538D5C"/>
    <w:rsid w:val="3D5F41F3"/>
    <w:rsid w:val="3D9196CC"/>
    <w:rsid w:val="3DB9EB17"/>
    <w:rsid w:val="3E18332E"/>
    <w:rsid w:val="3E5E2A59"/>
    <w:rsid w:val="3E728AB5"/>
    <w:rsid w:val="3EB59444"/>
    <w:rsid w:val="3EBA2D8C"/>
    <w:rsid w:val="3ED94023"/>
    <w:rsid w:val="3EEDB599"/>
    <w:rsid w:val="3F30F51A"/>
    <w:rsid w:val="3F6357E7"/>
    <w:rsid w:val="3F968E68"/>
    <w:rsid w:val="3FF4E0D1"/>
    <w:rsid w:val="404911A9"/>
    <w:rsid w:val="409245CD"/>
    <w:rsid w:val="40E2BA7B"/>
    <w:rsid w:val="40E4FF8F"/>
    <w:rsid w:val="40F37EED"/>
    <w:rsid w:val="412B035F"/>
    <w:rsid w:val="41475272"/>
    <w:rsid w:val="41503B7C"/>
    <w:rsid w:val="41800E9B"/>
    <w:rsid w:val="4186E4FA"/>
    <w:rsid w:val="41AE5781"/>
    <w:rsid w:val="41DBD094"/>
    <w:rsid w:val="4222D55E"/>
    <w:rsid w:val="42333B22"/>
    <w:rsid w:val="4293DEC4"/>
    <w:rsid w:val="4297C9BE"/>
    <w:rsid w:val="42988672"/>
    <w:rsid w:val="42D5D022"/>
    <w:rsid w:val="42DAF3AC"/>
    <w:rsid w:val="42EB2D2A"/>
    <w:rsid w:val="42F63396"/>
    <w:rsid w:val="432A49D0"/>
    <w:rsid w:val="438305CA"/>
    <w:rsid w:val="4392B376"/>
    <w:rsid w:val="43B18655"/>
    <w:rsid w:val="43C80197"/>
    <w:rsid w:val="4422C071"/>
    <w:rsid w:val="4460B964"/>
    <w:rsid w:val="446223F4"/>
    <w:rsid w:val="44C6AE26"/>
    <w:rsid w:val="44CB43BA"/>
    <w:rsid w:val="45030733"/>
    <w:rsid w:val="452057A1"/>
    <w:rsid w:val="45369F4B"/>
    <w:rsid w:val="459C43B2"/>
    <w:rsid w:val="45A11417"/>
    <w:rsid w:val="45AEB4AA"/>
    <w:rsid w:val="45ED5558"/>
    <w:rsid w:val="46081BF4"/>
    <w:rsid w:val="46132C60"/>
    <w:rsid w:val="46269FB4"/>
    <w:rsid w:val="462C2B24"/>
    <w:rsid w:val="46808C44"/>
    <w:rsid w:val="470D67B5"/>
    <w:rsid w:val="4762C975"/>
    <w:rsid w:val="477CF235"/>
    <w:rsid w:val="47DB34CA"/>
    <w:rsid w:val="480E03B0"/>
    <w:rsid w:val="482E4BAA"/>
    <w:rsid w:val="4897AD70"/>
    <w:rsid w:val="490F48D9"/>
    <w:rsid w:val="492AA228"/>
    <w:rsid w:val="49364F8D"/>
    <w:rsid w:val="4937D062"/>
    <w:rsid w:val="4950C332"/>
    <w:rsid w:val="49512481"/>
    <w:rsid w:val="496E0E22"/>
    <w:rsid w:val="49DB19B9"/>
    <w:rsid w:val="4A4EEA91"/>
    <w:rsid w:val="4ADC65A6"/>
    <w:rsid w:val="4B0CE84E"/>
    <w:rsid w:val="4B7418BE"/>
    <w:rsid w:val="4BF08648"/>
    <w:rsid w:val="4C6CBF95"/>
    <w:rsid w:val="4CC6EA6B"/>
    <w:rsid w:val="4D3FC0C3"/>
    <w:rsid w:val="4D53ED49"/>
    <w:rsid w:val="4D65F509"/>
    <w:rsid w:val="4DA8B718"/>
    <w:rsid w:val="4DC1D7C0"/>
    <w:rsid w:val="4DEA14C9"/>
    <w:rsid w:val="4DF25B1C"/>
    <w:rsid w:val="4E0126F7"/>
    <w:rsid w:val="4E2FCC88"/>
    <w:rsid w:val="4E5CEEF4"/>
    <w:rsid w:val="4E820302"/>
    <w:rsid w:val="4FAC6772"/>
    <w:rsid w:val="4FDC795A"/>
    <w:rsid w:val="4FFADFC5"/>
    <w:rsid w:val="501A8D38"/>
    <w:rsid w:val="5031D347"/>
    <w:rsid w:val="50631767"/>
    <w:rsid w:val="50644250"/>
    <w:rsid w:val="50AA09C0"/>
    <w:rsid w:val="50B90724"/>
    <w:rsid w:val="50BD0512"/>
    <w:rsid w:val="514F61A0"/>
    <w:rsid w:val="515C21E4"/>
    <w:rsid w:val="51749400"/>
    <w:rsid w:val="51BBA522"/>
    <w:rsid w:val="51C6E5AE"/>
    <w:rsid w:val="52172790"/>
    <w:rsid w:val="52586B75"/>
    <w:rsid w:val="529BD40B"/>
    <w:rsid w:val="52BC0076"/>
    <w:rsid w:val="533CB62E"/>
    <w:rsid w:val="53598FD6"/>
    <w:rsid w:val="53B145AF"/>
    <w:rsid w:val="548EAAAD"/>
    <w:rsid w:val="54B82C07"/>
    <w:rsid w:val="54C7E744"/>
    <w:rsid w:val="54F689BE"/>
    <w:rsid w:val="55053401"/>
    <w:rsid w:val="55113BF1"/>
    <w:rsid w:val="552ED16F"/>
    <w:rsid w:val="55E535B8"/>
    <w:rsid w:val="561F26DB"/>
    <w:rsid w:val="56718C26"/>
    <w:rsid w:val="56C2FBE7"/>
    <w:rsid w:val="56E34A48"/>
    <w:rsid w:val="575298D5"/>
    <w:rsid w:val="57597ECF"/>
    <w:rsid w:val="57C2899E"/>
    <w:rsid w:val="57F71D55"/>
    <w:rsid w:val="57F98D49"/>
    <w:rsid w:val="580EC8E0"/>
    <w:rsid w:val="586C291A"/>
    <w:rsid w:val="5870ABA2"/>
    <w:rsid w:val="58B62150"/>
    <w:rsid w:val="58F265F3"/>
    <w:rsid w:val="5900CB0C"/>
    <w:rsid w:val="594053F0"/>
    <w:rsid w:val="5950D49F"/>
    <w:rsid w:val="596E94C6"/>
    <w:rsid w:val="59E091E3"/>
    <w:rsid w:val="5A069261"/>
    <w:rsid w:val="5A527F9B"/>
    <w:rsid w:val="5A55680E"/>
    <w:rsid w:val="5A67636D"/>
    <w:rsid w:val="5A7BA149"/>
    <w:rsid w:val="5AB9A3B1"/>
    <w:rsid w:val="5AD376FE"/>
    <w:rsid w:val="5AD47BD3"/>
    <w:rsid w:val="5B0830BB"/>
    <w:rsid w:val="5B2FD151"/>
    <w:rsid w:val="5B4EA5CA"/>
    <w:rsid w:val="5BB3C578"/>
    <w:rsid w:val="5BC5A2A3"/>
    <w:rsid w:val="5BFB20F0"/>
    <w:rsid w:val="5BFF56F2"/>
    <w:rsid w:val="5C3B7C2C"/>
    <w:rsid w:val="5CB47952"/>
    <w:rsid w:val="5D71E4E4"/>
    <w:rsid w:val="5D88FF44"/>
    <w:rsid w:val="5E119B58"/>
    <w:rsid w:val="5E54B655"/>
    <w:rsid w:val="5ED74ED6"/>
    <w:rsid w:val="5EF9F96C"/>
    <w:rsid w:val="5F067360"/>
    <w:rsid w:val="5F1C5FE3"/>
    <w:rsid w:val="5FA1A31B"/>
    <w:rsid w:val="5FA6CB0D"/>
    <w:rsid w:val="6003EB88"/>
    <w:rsid w:val="601064C8"/>
    <w:rsid w:val="602D83BF"/>
    <w:rsid w:val="6059D3D1"/>
    <w:rsid w:val="60C1F615"/>
    <w:rsid w:val="60D57E1B"/>
    <w:rsid w:val="60DA71C8"/>
    <w:rsid w:val="6104338C"/>
    <w:rsid w:val="61081C59"/>
    <w:rsid w:val="616F1F33"/>
    <w:rsid w:val="619FE917"/>
    <w:rsid w:val="61B296A4"/>
    <w:rsid w:val="61C13F26"/>
    <w:rsid w:val="61D0AB28"/>
    <w:rsid w:val="61D92D40"/>
    <w:rsid w:val="6236E0F3"/>
    <w:rsid w:val="6238A1EB"/>
    <w:rsid w:val="62830B40"/>
    <w:rsid w:val="629B38B2"/>
    <w:rsid w:val="62D11EB1"/>
    <w:rsid w:val="633C1446"/>
    <w:rsid w:val="63794B5B"/>
    <w:rsid w:val="638E5002"/>
    <w:rsid w:val="6394CB10"/>
    <w:rsid w:val="6406B3D4"/>
    <w:rsid w:val="6407B4CB"/>
    <w:rsid w:val="64251264"/>
    <w:rsid w:val="6428097F"/>
    <w:rsid w:val="6485281C"/>
    <w:rsid w:val="64A9FF4F"/>
    <w:rsid w:val="64D21A3A"/>
    <w:rsid w:val="6552DC1E"/>
    <w:rsid w:val="65882D8C"/>
    <w:rsid w:val="6597D8BF"/>
    <w:rsid w:val="660FD656"/>
    <w:rsid w:val="662721C0"/>
    <w:rsid w:val="66366983"/>
    <w:rsid w:val="66379D1D"/>
    <w:rsid w:val="667E1F52"/>
    <w:rsid w:val="6685C129"/>
    <w:rsid w:val="66B2FE1E"/>
    <w:rsid w:val="66FDAAC5"/>
    <w:rsid w:val="67776A0F"/>
    <w:rsid w:val="6782DEFB"/>
    <w:rsid w:val="679F7DB7"/>
    <w:rsid w:val="67A50553"/>
    <w:rsid w:val="67ACFF9D"/>
    <w:rsid w:val="686C1481"/>
    <w:rsid w:val="68EC3891"/>
    <w:rsid w:val="692163BE"/>
    <w:rsid w:val="6A11295F"/>
    <w:rsid w:val="6A5416C4"/>
    <w:rsid w:val="6A59FB54"/>
    <w:rsid w:val="6A6C0653"/>
    <w:rsid w:val="6A7EF9EB"/>
    <w:rsid w:val="6AAEFE2D"/>
    <w:rsid w:val="6ABB5326"/>
    <w:rsid w:val="6B1663A6"/>
    <w:rsid w:val="6B2C9ABE"/>
    <w:rsid w:val="6B8CBE9F"/>
    <w:rsid w:val="6B9176F0"/>
    <w:rsid w:val="6BC677A3"/>
    <w:rsid w:val="6C1F9FD8"/>
    <w:rsid w:val="6CAA0233"/>
    <w:rsid w:val="6CD26927"/>
    <w:rsid w:val="6CDD1D95"/>
    <w:rsid w:val="6D12E220"/>
    <w:rsid w:val="6D3C6980"/>
    <w:rsid w:val="6D53E1B4"/>
    <w:rsid w:val="6D5FB8CB"/>
    <w:rsid w:val="6DD4280A"/>
    <w:rsid w:val="6DE48E28"/>
    <w:rsid w:val="6E7727E8"/>
    <w:rsid w:val="6EC6CCEF"/>
    <w:rsid w:val="6EEF8F10"/>
    <w:rsid w:val="6F8CC600"/>
    <w:rsid w:val="6FE1B1D1"/>
    <w:rsid w:val="703AF4C3"/>
    <w:rsid w:val="707AF2CE"/>
    <w:rsid w:val="708D6424"/>
    <w:rsid w:val="70910979"/>
    <w:rsid w:val="70B52D6F"/>
    <w:rsid w:val="70B6FB02"/>
    <w:rsid w:val="714EE555"/>
    <w:rsid w:val="71BE8733"/>
    <w:rsid w:val="720C0F1E"/>
    <w:rsid w:val="7255EA2B"/>
    <w:rsid w:val="727849DD"/>
    <w:rsid w:val="727B202E"/>
    <w:rsid w:val="728C6180"/>
    <w:rsid w:val="72A8D942"/>
    <w:rsid w:val="72E2DEB4"/>
    <w:rsid w:val="734D13AB"/>
    <w:rsid w:val="73A81818"/>
    <w:rsid w:val="73DF2BE5"/>
    <w:rsid w:val="73F76D7F"/>
    <w:rsid w:val="74304762"/>
    <w:rsid w:val="745DABFB"/>
    <w:rsid w:val="747CBE07"/>
    <w:rsid w:val="74973B84"/>
    <w:rsid w:val="74CD007E"/>
    <w:rsid w:val="7566AECE"/>
    <w:rsid w:val="759B74CA"/>
    <w:rsid w:val="75F60D14"/>
    <w:rsid w:val="76043844"/>
    <w:rsid w:val="765AD8F6"/>
    <w:rsid w:val="768DEC3A"/>
    <w:rsid w:val="768EFE31"/>
    <w:rsid w:val="76904A08"/>
    <w:rsid w:val="776D543D"/>
    <w:rsid w:val="77A264B1"/>
    <w:rsid w:val="77A94586"/>
    <w:rsid w:val="77EB2299"/>
    <w:rsid w:val="7807B02A"/>
    <w:rsid w:val="78303BD3"/>
    <w:rsid w:val="787CD9E1"/>
    <w:rsid w:val="788A104D"/>
    <w:rsid w:val="78A8571F"/>
    <w:rsid w:val="78AE0654"/>
    <w:rsid w:val="78D53303"/>
    <w:rsid w:val="79DAFF10"/>
    <w:rsid w:val="7A179B92"/>
    <w:rsid w:val="7A438E80"/>
    <w:rsid w:val="7A6546FC"/>
    <w:rsid w:val="7A721311"/>
    <w:rsid w:val="7A765147"/>
    <w:rsid w:val="7AD01D4F"/>
    <w:rsid w:val="7AFC6138"/>
    <w:rsid w:val="7AFE8AC8"/>
    <w:rsid w:val="7BF399EE"/>
    <w:rsid w:val="7C0896E4"/>
    <w:rsid w:val="7C393187"/>
    <w:rsid w:val="7C401718"/>
    <w:rsid w:val="7C443223"/>
    <w:rsid w:val="7C558458"/>
    <w:rsid w:val="7CECD41D"/>
    <w:rsid w:val="7CF64CB8"/>
    <w:rsid w:val="7D51821A"/>
    <w:rsid w:val="7D836AF4"/>
    <w:rsid w:val="7E41346F"/>
    <w:rsid w:val="7E893232"/>
    <w:rsid w:val="7EE2B622"/>
    <w:rsid w:val="7EF41E0B"/>
    <w:rsid w:val="7F3899F8"/>
    <w:rsid w:val="7F56D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06"/>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uiPriority w:val="39"/>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 w:type="character" w:styleId="UnresolvedMention">
    <w:name w:val="Unresolved Mention"/>
    <w:basedOn w:val="DefaultParagraphFont"/>
    <w:uiPriority w:val="99"/>
    <w:semiHidden/>
    <w:unhideWhenUsed/>
    <w:rsid w:val="0023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accountability/essa-accountability-design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7E39C2A6F489692D3212FB103CD15"/>
        <w:category>
          <w:name w:val="General"/>
          <w:gallery w:val="placeholder"/>
        </w:category>
        <w:types>
          <w:type w:val="bbPlcHdr"/>
        </w:types>
        <w:behaviors>
          <w:behavior w:val="content"/>
        </w:behaviors>
        <w:guid w:val="{3F098668-E593-4F24-8F38-F467E9FF338B}"/>
      </w:docPartPr>
      <w:docPartBody>
        <w:p w:rsidR="00527FA4" w:rsidRDefault="00900995" w:rsidP="00900995">
          <w:pPr>
            <w:pStyle w:val="A9E7E39C2A6F489692D3212FB103CD15"/>
          </w:pPr>
          <w:r w:rsidRPr="00B83C31">
            <w:rPr>
              <w:rStyle w:val="PlaceholderText"/>
            </w:rPr>
            <w:t>Click here to enter text.</w:t>
          </w:r>
        </w:p>
      </w:docPartBody>
    </w:docPart>
    <w:docPart>
      <w:docPartPr>
        <w:name w:val="52ED7356DE8048ECA61CECC569AD5761"/>
        <w:category>
          <w:name w:val="General"/>
          <w:gallery w:val="placeholder"/>
        </w:category>
        <w:types>
          <w:type w:val="bbPlcHdr"/>
        </w:types>
        <w:behaviors>
          <w:behavior w:val="content"/>
        </w:behaviors>
        <w:guid w:val="{A2AC9C3A-0C88-4CDB-8BF0-6E98C5D1FF45}"/>
      </w:docPartPr>
      <w:docPartBody>
        <w:p w:rsidR="00527FA4" w:rsidRDefault="00900995" w:rsidP="00900995">
          <w:pPr>
            <w:pStyle w:val="52ED7356DE8048ECA61CECC569AD5761"/>
          </w:pPr>
          <w:r w:rsidRPr="000A4FD5">
            <w:rPr>
              <w:rStyle w:val="PlaceholderText"/>
            </w:rPr>
            <w:t>Choose an item.</w:t>
          </w:r>
        </w:p>
      </w:docPartBody>
    </w:docPart>
    <w:docPart>
      <w:docPartPr>
        <w:name w:val="DF1187B029D24315BDA99436570E4B99"/>
        <w:category>
          <w:name w:val="General"/>
          <w:gallery w:val="placeholder"/>
        </w:category>
        <w:types>
          <w:type w:val="bbPlcHdr"/>
        </w:types>
        <w:behaviors>
          <w:behavior w:val="content"/>
        </w:behaviors>
        <w:guid w:val="{8875B83A-EE7B-4ED7-BB48-8C09AA1FCC9E}"/>
      </w:docPartPr>
      <w:docPartBody>
        <w:p w:rsidR="00D12BCC" w:rsidRDefault="0081506E" w:rsidP="0081506E">
          <w:pPr>
            <w:pStyle w:val="DF1187B029D24315BDA99436570E4B99"/>
          </w:pPr>
          <w:r w:rsidRPr="00B83C31">
            <w:rPr>
              <w:rStyle w:val="PlaceholderText"/>
            </w:rPr>
            <w:t>Click here to enter text.</w:t>
          </w:r>
        </w:p>
      </w:docPartBody>
    </w:docPart>
    <w:docPart>
      <w:docPartPr>
        <w:name w:val="0809324E3EB9450C8856DD3C0C02271A"/>
        <w:category>
          <w:name w:val="General"/>
          <w:gallery w:val="placeholder"/>
        </w:category>
        <w:types>
          <w:type w:val="bbPlcHdr"/>
        </w:types>
        <w:behaviors>
          <w:behavior w:val="content"/>
        </w:behaviors>
        <w:guid w:val="{54C6B053-CA6F-43F3-85B2-7F9F863C0C22}"/>
      </w:docPartPr>
      <w:docPartBody>
        <w:p w:rsidR="00D12BCC" w:rsidRDefault="0081506E" w:rsidP="0081506E">
          <w:pPr>
            <w:pStyle w:val="0809324E3EB9450C8856DD3C0C02271A"/>
          </w:pPr>
          <w:r w:rsidRPr="000A4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8F"/>
    <w:rsid w:val="0011153F"/>
    <w:rsid w:val="00226228"/>
    <w:rsid w:val="00226ACD"/>
    <w:rsid w:val="002910A1"/>
    <w:rsid w:val="00294C99"/>
    <w:rsid w:val="002D2FF9"/>
    <w:rsid w:val="0038492A"/>
    <w:rsid w:val="004366FE"/>
    <w:rsid w:val="004D3DE7"/>
    <w:rsid w:val="0050278F"/>
    <w:rsid w:val="00527FA4"/>
    <w:rsid w:val="00530B1D"/>
    <w:rsid w:val="00536447"/>
    <w:rsid w:val="006A537D"/>
    <w:rsid w:val="006B3B12"/>
    <w:rsid w:val="006F4246"/>
    <w:rsid w:val="00786F67"/>
    <w:rsid w:val="0081506E"/>
    <w:rsid w:val="008B5150"/>
    <w:rsid w:val="00900995"/>
    <w:rsid w:val="00A42E83"/>
    <w:rsid w:val="00AD2E40"/>
    <w:rsid w:val="00B143C7"/>
    <w:rsid w:val="00B704BF"/>
    <w:rsid w:val="00B74F20"/>
    <w:rsid w:val="00B864B9"/>
    <w:rsid w:val="00BB3CCE"/>
    <w:rsid w:val="00BD62E9"/>
    <w:rsid w:val="00C14508"/>
    <w:rsid w:val="00C30714"/>
    <w:rsid w:val="00CA3CA8"/>
    <w:rsid w:val="00CE5D0E"/>
    <w:rsid w:val="00D068CF"/>
    <w:rsid w:val="00D12BCC"/>
    <w:rsid w:val="00D85B13"/>
    <w:rsid w:val="00D86F7D"/>
    <w:rsid w:val="00DF187D"/>
    <w:rsid w:val="00E008F8"/>
    <w:rsid w:val="00E37C25"/>
    <w:rsid w:val="00E73ABC"/>
    <w:rsid w:val="00FB30B3"/>
    <w:rsid w:val="00FE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06E"/>
    <w:rPr>
      <w:color w:val="808080"/>
    </w:rPr>
  </w:style>
  <w:style w:type="paragraph" w:customStyle="1" w:styleId="A9E7E39C2A6F489692D3212FB103CD15">
    <w:name w:val="A9E7E39C2A6F489692D3212FB103CD15"/>
    <w:rsid w:val="00900995"/>
    <w:pPr>
      <w:spacing w:after="160" w:line="259" w:lineRule="auto"/>
    </w:pPr>
  </w:style>
  <w:style w:type="paragraph" w:customStyle="1" w:styleId="52ED7356DE8048ECA61CECC569AD5761">
    <w:name w:val="52ED7356DE8048ECA61CECC569AD5761"/>
    <w:rsid w:val="00900995"/>
    <w:pPr>
      <w:spacing w:after="160" w:line="259" w:lineRule="auto"/>
    </w:pPr>
  </w:style>
  <w:style w:type="paragraph" w:customStyle="1" w:styleId="DF1187B029D24315BDA99436570E4B99">
    <w:name w:val="DF1187B029D24315BDA99436570E4B99"/>
    <w:rsid w:val="0081506E"/>
    <w:pPr>
      <w:spacing w:after="160" w:line="259" w:lineRule="auto"/>
    </w:pPr>
  </w:style>
  <w:style w:type="paragraph" w:customStyle="1" w:styleId="0809324E3EB9450C8856DD3C0C02271A">
    <w:name w:val="0809324E3EB9450C8856DD3C0C02271A"/>
    <w:rsid w:val="008150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4" ma:contentTypeDescription="Create a new document." ma:contentTypeScope="" ma:versionID="7d6f3eea819a7ea91300530a76fa3ba8">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d919357e7609d06a929f1439268e7d18"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DB40C-7A1D-4C8D-871E-64895B14E7E4}">
  <ds:schemaRefs>
    <ds:schemaRef ds:uri="http://schemas.openxmlformats.org/officeDocument/2006/bibliography"/>
  </ds:schemaRefs>
</ds:datastoreItem>
</file>

<file path=customXml/itemProps2.xml><?xml version="1.0" encoding="utf-8"?>
<ds:datastoreItem xmlns:ds="http://schemas.openxmlformats.org/officeDocument/2006/customXml" ds:itemID="{54D1F9CD-58C8-4C8C-86DF-1D2F3BB3D337}">
  <ds:schemaRefs>
    <ds:schemaRef ds:uri="http://schemas.microsoft.com/sharepoint/v3/contenttype/forms"/>
  </ds:schemaRefs>
</ds:datastoreItem>
</file>

<file path=customXml/itemProps3.xml><?xml version="1.0" encoding="utf-8"?>
<ds:datastoreItem xmlns:ds="http://schemas.openxmlformats.org/officeDocument/2006/customXml" ds:itemID="{10326F1B-C574-4A31-8E8E-4BB4A24063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8EA28-3680-4CEA-924F-79208E19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21</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Joelle Formato</cp:lastModifiedBy>
  <cp:revision>241</cp:revision>
  <dcterms:created xsi:type="dcterms:W3CDTF">2022-09-06T19:42:00Z</dcterms:created>
  <dcterms:modified xsi:type="dcterms:W3CDTF">2022-09-14T22:28:00Z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